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9C" w:rsidRPr="003C2C39" w:rsidRDefault="0039799C" w:rsidP="00530AC4">
      <w:pPr>
        <w:pStyle w:val="PlainText"/>
        <w:ind w:left="-90" w:right="-126"/>
        <w:rPr>
          <w:rFonts w:ascii="Arial" w:hAnsi="Arial" w:cs="Arial"/>
          <w:sz w:val="22"/>
          <w:szCs w:val="22"/>
        </w:rPr>
      </w:pPr>
      <w:r w:rsidRPr="003C2C39">
        <w:rPr>
          <w:rFonts w:ascii="Arial" w:hAnsi="Arial" w:cs="Arial"/>
          <w:noProof/>
          <w:sz w:val="22"/>
          <w:szCs w:val="22"/>
        </w:rPr>
        <w:drawing>
          <wp:anchor distT="0" distB="0" distL="114300" distR="114300" simplePos="0" relativeHeight="251659264" behindDoc="0" locked="0" layoutInCell="1" allowOverlap="1" wp14:anchorId="28F53972" wp14:editId="2A0FBDD2">
            <wp:simplePos x="0" y="0"/>
            <wp:positionH relativeFrom="margin">
              <wp:align>left</wp:align>
            </wp:positionH>
            <wp:positionV relativeFrom="paragraph">
              <wp:posOffset>52705</wp:posOffset>
            </wp:positionV>
            <wp:extent cx="907415" cy="9601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opleDemandingAction.jpg"/>
                    <pic:cNvPicPr/>
                  </pic:nvPicPr>
                  <pic:blipFill>
                    <a:blip r:embed="rId7"/>
                    <a:stretch>
                      <a:fillRect/>
                    </a:stretch>
                  </pic:blipFill>
                  <pic:spPr>
                    <a:xfrm>
                      <a:off x="0" y="0"/>
                      <a:ext cx="907415" cy="960120"/>
                    </a:xfrm>
                    <a:prstGeom prst="rect">
                      <a:avLst/>
                    </a:prstGeom>
                  </pic:spPr>
                </pic:pic>
              </a:graphicData>
            </a:graphic>
            <wp14:sizeRelH relativeFrom="page">
              <wp14:pctWidth>0</wp14:pctWidth>
            </wp14:sizeRelH>
            <wp14:sizeRelV relativeFrom="page">
              <wp14:pctHeight>0</wp14:pctHeight>
            </wp14:sizeRelV>
          </wp:anchor>
        </w:drawing>
      </w:r>
    </w:p>
    <w:p w:rsidR="0039799C" w:rsidRPr="003C2C39"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p>
    <w:p w:rsidR="0039799C" w:rsidRPr="003C2C39" w:rsidRDefault="0039799C" w:rsidP="001B4693">
      <w:pPr>
        <w:pStyle w:val="PlainText"/>
        <w:ind w:left="1350" w:right="-126" w:firstLine="5580"/>
        <w:rPr>
          <w:rFonts w:ascii="Arial" w:hAnsi="Arial" w:cs="Arial"/>
          <w:sz w:val="22"/>
          <w:szCs w:val="22"/>
        </w:rPr>
      </w:pPr>
      <w:r>
        <w:rPr>
          <w:rFonts w:ascii="Arial" w:hAnsi="Arial" w:cs="Arial"/>
          <w:sz w:val="22"/>
          <w:szCs w:val="22"/>
        </w:rPr>
        <w:t>August xx, 2016</w:t>
      </w:r>
    </w:p>
    <w:p w:rsidR="0039799C" w:rsidRPr="003C2C39" w:rsidRDefault="0039799C" w:rsidP="00530AC4">
      <w:pPr>
        <w:pStyle w:val="PlainText"/>
        <w:ind w:left="-90" w:right="-126"/>
        <w:rPr>
          <w:rFonts w:ascii="Arial" w:hAnsi="Arial" w:cs="Arial"/>
          <w:sz w:val="22"/>
          <w:szCs w:val="22"/>
        </w:rPr>
      </w:pPr>
    </w:p>
    <w:p w:rsidR="0039799C"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r>
        <w:rPr>
          <w:rFonts w:ascii="Arial" w:hAnsi="Arial" w:cs="Arial"/>
          <w:sz w:val="22"/>
          <w:szCs w:val="22"/>
        </w:rPr>
        <w:t xml:space="preserve">The Honorable [Rep. </w:t>
      </w:r>
      <w:bookmarkStart w:id="0" w:name="_GoBack"/>
      <w:bookmarkEnd w:id="0"/>
      <w:r>
        <w:rPr>
          <w:rFonts w:ascii="Arial" w:hAnsi="Arial" w:cs="Arial"/>
          <w:sz w:val="22"/>
          <w:szCs w:val="22"/>
        </w:rPr>
        <w:t>First and Last Name]</w:t>
      </w:r>
    </w:p>
    <w:p w:rsidR="0039799C" w:rsidRDefault="0039799C" w:rsidP="00530AC4">
      <w:pPr>
        <w:pStyle w:val="PlainText"/>
        <w:ind w:left="-90" w:right="-126"/>
        <w:rPr>
          <w:rFonts w:ascii="Arial" w:hAnsi="Arial" w:cs="Arial"/>
          <w:sz w:val="22"/>
          <w:szCs w:val="22"/>
        </w:rPr>
      </w:pPr>
      <w:r>
        <w:rPr>
          <w:rFonts w:ascii="Arial" w:hAnsi="Arial" w:cs="Arial"/>
          <w:sz w:val="22"/>
          <w:szCs w:val="22"/>
        </w:rPr>
        <w:t>[Address]</w:t>
      </w:r>
    </w:p>
    <w:p w:rsidR="0039799C" w:rsidRPr="003C2C39" w:rsidRDefault="0039799C" w:rsidP="00530AC4">
      <w:pPr>
        <w:pStyle w:val="PlainText"/>
        <w:ind w:left="-90" w:right="-126"/>
        <w:rPr>
          <w:rFonts w:ascii="Arial" w:hAnsi="Arial" w:cs="Arial"/>
          <w:sz w:val="22"/>
          <w:szCs w:val="22"/>
        </w:rPr>
      </w:pPr>
    </w:p>
    <w:p w:rsidR="0039799C" w:rsidRPr="003C2C39" w:rsidRDefault="0039799C" w:rsidP="00530AC4">
      <w:pPr>
        <w:pStyle w:val="PlainText"/>
        <w:ind w:left="-90" w:right="-126"/>
        <w:rPr>
          <w:rFonts w:ascii="Arial" w:hAnsi="Arial" w:cs="Arial"/>
          <w:sz w:val="22"/>
          <w:szCs w:val="22"/>
        </w:rPr>
      </w:pPr>
      <w:r w:rsidRPr="003C2C39">
        <w:rPr>
          <w:rFonts w:ascii="Arial" w:hAnsi="Arial" w:cs="Arial"/>
          <w:sz w:val="22"/>
          <w:szCs w:val="22"/>
        </w:rPr>
        <w:t>Dear Representative [Last Name],</w:t>
      </w:r>
    </w:p>
    <w:p w:rsidR="0039799C" w:rsidRPr="003C2C39" w:rsidRDefault="0039799C" w:rsidP="003C2C39">
      <w:pPr>
        <w:spacing w:before="100" w:beforeAutospacing="1" w:after="100" w:afterAutospacing="1"/>
        <w:ind w:left="-90"/>
        <w:rPr>
          <w:rFonts w:ascii="Arial" w:eastAsia="Times New Roman" w:hAnsi="Arial" w:cs="Arial"/>
          <w:sz w:val="22"/>
          <w:szCs w:val="22"/>
        </w:rPr>
      </w:pPr>
      <w:r w:rsidRPr="003C2C39">
        <w:rPr>
          <w:rFonts w:ascii="Arial" w:eastAsia="Times New Roman" w:hAnsi="Arial" w:cs="Arial"/>
          <w:sz w:val="22"/>
          <w:szCs w:val="22"/>
        </w:rPr>
        <w:t>Social Security has been guaranteeing a steady income for seniors and the disabled for 81 years this month. Now is the time to work on expanding these benefits and implementing 21st century changes regarding Cost of Living Adjustments (COLA) and preparing to provide benefits for future generations.</w:t>
      </w:r>
    </w:p>
    <w:p w:rsidR="0039799C" w:rsidRPr="003C2C39" w:rsidRDefault="0039799C" w:rsidP="003C2C39">
      <w:pPr>
        <w:spacing w:after="240"/>
        <w:ind w:left="-90"/>
        <w:rPr>
          <w:rFonts w:ascii="Arial" w:eastAsia="Times New Roman" w:hAnsi="Arial" w:cs="Arial"/>
          <w:sz w:val="22"/>
          <w:szCs w:val="22"/>
        </w:rPr>
      </w:pPr>
      <w:hyperlink r:id="rId8" w:tgtFrame="_blank" w:history="1">
        <w:r w:rsidRPr="003C2C39">
          <w:rPr>
            <w:rFonts w:ascii="Arial" w:eastAsia="Times New Roman" w:hAnsi="Arial" w:cs="Arial"/>
            <w:b/>
            <w:bCs/>
            <w:color w:val="0000FF"/>
            <w:sz w:val="22"/>
            <w:szCs w:val="22"/>
            <w:u w:val="single"/>
          </w:rPr>
          <w:t>H.Res.393</w:t>
        </w:r>
      </w:hyperlink>
      <w:r w:rsidRPr="003C2C39">
        <w:rPr>
          <w:rFonts w:ascii="Arial" w:eastAsia="Times New Roman" w:hAnsi="Arial" w:cs="Arial"/>
          <w:b/>
          <w:bCs/>
          <w:sz w:val="22"/>
          <w:szCs w:val="22"/>
        </w:rPr>
        <w:t xml:space="preserve"> - Resolution on Expansion</w:t>
      </w:r>
      <w:r w:rsidRPr="003C2C39">
        <w:rPr>
          <w:rFonts w:ascii="Arial" w:eastAsia="Times New Roman" w:hAnsi="Arial" w:cs="Arial"/>
          <w:sz w:val="22"/>
          <w:szCs w:val="22"/>
        </w:rPr>
        <w:t xml:space="preserve"> (Schakowsky)</w:t>
      </w:r>
      <w:r w:rsidRPr="003C2C39">
        <w:rPr>
          <w:rFonts w:ascii="Arial" w:eastAsia="Times New Roman" w:hAnsi="Arial" w:cs="Arial"/>
          <w:sz w:val="22"/>
          <w:szCs w:val="22"/>
        </w:rPr>
        <w:br/>
        <w:t>Supports policies to protect and expand Social Security and secure its long-term future in a fair and responsible manner.</w:t>
      </w:r>
    </w:p>
    <w:p w:rsidR="0039799C" w:rsidRPr="003C2C39" w:rsidRDefault="0039799C" w:rsidP="003C2C39">
      <w:pPr>
        <w:ind w:left="-90"/>
        <w:rPr>
          <w:rFonts w:ascii="Arial" w:eastAsia="Times New Roman" w:hAnsi="Arial" w:cs="Arial"/>
          <w:sz w:val="22"/>
          <w:szCs w:val="22"/>
        </w:rPr>
      </w:pPr>
      <w:hyperlink r:id="rId9" w:tgtFrame="_blank" w:history="1">
        <w:r w:rsidRPr="003C2C39">
          <w:rPr>
            <w:rFonts w:ascii="Arial" w:eastAsia="Times New Roman" w:hAnsi="Arial" w:cs="Arial"/>
            <w:b/>
            <w:bCs/>
            <w:color w:val="0000FF"/>
            <w:sz w:val="22"/>
            <w:szCs w:val="22"/>
            <w:u w:val="single"/>
          </w:rPr>
          <w:t xml:space="preserve">H.R. 1391 </w:t>
        </w:r>
        <w:r w:rsidRPr="003C2C39">
          <w:rPr>
            <w:rFonts w:ascii="Arial" w:eastAsia="Times New Roman" w:hAnsi="Arial" w:cs="Arial"/>
            <w:b/>
            <w:bCs/>
            <w:color w:val="000000" w:themeColor="text1"/>
            <w:sz w:val="22"/>
            <w:szCs w:val="22"/>
            <w:u w:val="single"/>
          </w:rPr>
          <w:t>- S</w:t>
        </w:r>
      </w:hyperlink>
      <w:r w:rsidRPr="003C2C39">
        <w:rPr>
          <w:rFonts w:ascii="Arial" w:eastAsia="Times New Roman" w:hAnsi="Arial" w:cs="Arial"/>
          <w:b/>
          <w:bCs/>
          <w:sz w:val="22"/>
          <w:szCs w:val="22"/>
        </w:rPr>
        <w:t>ocial Security 2100 Act</w:t>
      </w:r>
      <w:r w:rsidRPr="003C2C39">
        <w:rPr>
          <w:rFonts w:ascii="Arial" w:eastAsia="Times New Roman" w:hAnsi="Arial" w:cs="Arial"/>
          <w:sz w:val="22"/>
          <w:szCs w:val="22"/>
        </w:rPr>
        <w:t xml:space="preserve"> (Larson) </w:t>
      </w:r>
    </w:p>
    <w:p w:rsidR="0039799C" w:rsidRPr="003C2C39" w:rsidRDefault="0039799C" w:rsidP="003C2C39">
      <w:pPr>
        <w:ind w:left="-90"/>
        <w:rPr>
          <w:rFonts w:ascii="Arial" w:eastAsia="Times New Roman" w:hAnsi="Arial" w:cs="Arial"/>
          <w:sz w:val="22"/>
          <w:szCs w:val="22"/>
        </w:rPr>
      </w:pPr>
      <w:r w:rsidRPr="003C2C39">
        <w:rPr>
          <w:rFonts w:ascii="Arial" w:eastAsia="Times New Roman" w:hAnsi="Arial" w:cs="Arial"/>
          <w:sz w:val="22"/>
          <w:szCs w:val="22"/>
        </w:rPr>
        <w:t xml:space="preserve">Provides an across the board 2% increase for all beneficiaries so that all Social Security recipients would see an immediate benefit increase starting in 2015. Switches to the more accurate CPI-E. </w:t>
      </w:r>
    </w:p>
    <w:p w:rsidR="0039799C" w:rsidRPr="003C2C39" w:rsidRDefault="0039799C" w:rsidP="003C2C39">
      <w:pPr>
        <w:ind w:left="-90"/>
        <w:rPr>
          <w:rFonts w:ascii="Arial" w:eastAsia="Times New Roman" w:hAnsi="Arial" w:cs="Arial"/>
          <w:sz w:val="22"/>
          <w:szCs w:val="22"/>
        </w:rPr>
      </w:pPr>
      <w:r w:rsidRPr="003C2C39">
        <w:rPr>
          <w:rFonts w:ascii="Arial" w:eastAsia="Times New Roman" w:hAnsi="Arial" w:cs="Arial"/>
          <w:sz w:val="22"/>
          <w:szCs w:val="22"/>
        </w:rPr>
        <w:t xml:space="preserve">Protects the lowest income beneficiaries be ensuring that those who paid into the system </w:t>
      </w:r>
    </w:p>
    <w:p w:rsidR="0039799C" w:rsidRPr="003C2C39" w:rsidRDefault="0039799C" w:rsidP="003C2C39">
      <w:pPr>
        <w:ind w:left="-90"/>
        <w:rPr>
          <w:rFonts w:ascii="Arial" w:eastAsia="Times New Roman" w:hAnsi="Arial" w:cs="Arial"/>
          <w:sz w:val="22"/>
          <w:szCs w:val="22"/>
        </w:rPr>
      </w:pPr>
      <w:r w:rsidRPr="003C2C39">
        <w:rPr>
          <w:rFonts w:ascii="Arial" w:eastAsia="Times New Roman" w:hAnsi="Arial" w:cs="Arial"/>
          <w:sz w:val="22"/>
          <w:szCs w:val="22"/>
        </w:rPr>
        <w:t xml:space="preserve">receive a minimum benefit equal to 125% of the poverty line. Over 24 years, increases the payroll tax on workers and employers from 6.2% to 7.4%. This is a 0.05% increase each year would be the equivalent of 50 cents per week cumulatively. Lift the cap by applying the payroll tax to </w:t>
      </w:r>
    </w:p>
    <w:p w:rsidR="0039799C" w:rsidRPr="003C2C39" w:rsidRDefault="0039799C" w:rsidP="003C2C39">
      <w:pPr>
        <w:spacing w:after="240"/>
        <w:ind w:left="-90"/>
        <w:rPr>
          <w:rFonts w:ascii="Arial" w:eastAsia="Times New Roman" w:hAnsi="Arial" w:cs="Arial"/>
          <w:sz w:val="22"/>
          <w:szCs w:val="22"/>
        </w:rPr>
      </w:pPr>
      <w:r w:rsidRPr="003C2C39">
        <w:rPr>
          <w:rFonts w:ascii="Arial" w:eastAsia="Times New Roman" w:hAnsi="Arial" w:cs="Arial"/>
          <w:sz w:val="22"/>
          <w:szCs w:val="22"/>
        </w:rPr>
        <w:t>earners making more than $400,000. Ensures the solvency of the DI Trust Fund through a clean reallocation of the payroll tax.</w:t>
      </w:r>
    </w:p>
    <w:p w:rsidR="0039799C" w:rsidRPr="003C2C39" w:rsidRDefault="0039799C" w:rsidP="003C2C39">
      <w:pPr>
        <w:ind w:left="-90"/>
        <w:rPr>
          <w:rFonts w:ascii="Arial" w:eastAsia="Times New Roman" w:hAnsi="Arial" w:cs="Arial"/>
          <w:sz w:val="22"/>
          <w:szCs w:val="22"/>
        </w:rPr>
      </w:pPr>
      <w:hyperlink r:id="rId10" w:tgtFrame="_blank" w:history="1">
        <w:r w:rsidRPr="003C2C39">
          <w:rPr>
            <w:rFonts w:ascii="Arial" w:eastAsia="Times New Roman" w:hAnsi="Arial" w:cs="Arial"/>
            <w:b/>
            <w:bCs/>
            <w:color w:val="0000FF"/>
            <w:sz w:val="22"/>
            <w:szCs w:val="22"/>
            <w:u w:val="single"/>
          </w:rPr>
          <w:t>H.R. 1756</w:t>
        </w:r>
      </w:hyperlink>
      <w:r w:rsidRPr="003C2C39">
        <w:rPr>
          <w:rFonts w:ascii="Arial" w:eastAsia="Times New Roman" w:hAnsi="Arial" w:cs="Arial"/>
          <w:b/>
          <w:bCs/>
          <w:sz w:val="22"/>
          <w:szCs w:val="22"/>
        </w:rPr>
        <w:t xml:space="preserve"> - Social Security Enhancement and Protection Act</w:t>
      </w:r>
      <w:r w:rsidRPr="003C2C39">
        <w:rPr>
          <w:rFonts w:ascii="Arial" w:eastAsia="Times New Roman" w:hAnsi="Arial" w:cs="Arial"/>
          <w:sz w:val="22"/>
          <w:szCs w:val="22"/>
        </w:rPr>
        <w:t xml:space="preserve"> (Moore)</w:t>
      </w:r>
    </w:p>
    <w:p w:rsidR="0039799C" w:rsidRPr="003C2C39" w:rsidRDefault="0039799C" w:rsidP="003C2C39">
      <w:pPr>
        <w:ind w:left="-90"/>
        <w:rPr>
          <w:rFonts w:ascii="Arial" w:eastAsia="Times New Roman" w:hAnsi="Arial" w:cs="Arial"/>
          <w:sz w:val="22"/>
          <w:szCs w:val="22"/>
        </w:rPr>
      </w:pPr>
      <w:r w:rsidRPr="003C2C39">
        <w:rPr>
          <w:rFonts w:ascii="Arial" w:eastAsia="Times New Roman" w:hAnsi="Arial" w:cs="Arial"/>
          <w:sz w:val="22"/>
          <w:szCs w:val="22"/>
        </w:rPr>
        <w:t xml:space="preserve">Increases the special minimum benefit paid to workers who have spent long careers in low-wage </w:t>
      </w:r>
    </w:p>
    <w:p w:rsidR="0039799C" w:rsidRPr="003C2C39" w:rsidRDefault="0039799C" w:rsidP="003C2C39">
      <w:pPr>
        <w:spacing w:after="240"/>
        <w:ind w:left="-90"/>
        <w:rPr>
          <w:rFonts w:ascii="Arial" w:eastAsia="Times New Roman" w:hAnsi="Arial" w:cs="Arial"/>
          <w:sz w:val="22"/>
          <w:szCs w:val="22"/>
        </w:rPr>
      </w:pPr>
      <w:r w:rsidRPr="003C2C39">
        <w:rPr>
          <w:rFonts w:ascii="Arial" w:eastAsia="Times New Roman" w:hAnsi="Arial" w:cs="Arial"/>
          <w:sz w:val="22"/>
          <w:szCs w:val="22"/>
        </w:rPr>
        <w:t>jobs. Gives credits of up to five years toward the minimum benefit for a parent who leaves the workforce to raise a child younger than six years old. Provides a 5% increase for the very old. Restores the benefits of survivors in college up to age 22. Eliminates the cap on taxable income and gradually increases FICA.</w:t>
      </w:r>
    </w:p>
    <w:p w:rsidR="0039799C" w:rsidRPr="003C2C39" w:rsidRDefault="0039799C" w:rsidP="003C2C39">
      <w:pPr>
        <w:spacing w:after="240"/>
        <w:ind w:left="-90"/>
        <w:rPr>
          <w:rFonts w:ascii="Arial" w:eastAsia="Times New Roman" w:hAnsi="Arial" w:cs="Arial"/>
          <w:sz w:val="22"/>
          <w:szCs w:val="22"/>
        </w:rPr>
      </w:pPr>
      <w:hyperlink r:id="rId11" w:tgtFrame="_blank" w:history="1">
        <w:r w:rsidRPr="003C2C39">
          <w:rPr>
            <w:rFonts w:ascii="Arial" w:eastAsia="Times New Roman" w:hAnsi="Arial" w:cs="Arial"/>
            <w:b/>
            <w:bCs/>
            <w:color w:val="0000FF"/>
            <w:sz w:val="22"/>
            <w:szCs w:val="22"/>
            <w:u w:val="single"/>
          </w:rPr>
          <w:t>H.R. 4144</w:t>
        </w:r>
      </w:hyperlink>
      <w:r w:rsidRPr="003C2C39">
        <w:rPr>
          <w:rFonts w:ascii="Arial" w:eastAsia="Times New Roman" w:hAnsi="Arial" w:cs="Arial"/>
          <w:b/>
          <w:bCs/>
          <w:sz w:val="22"/>
          <w:szCs w:val="22"/>
        </w:rPr>
        <w:t xml:space="preserve"> - SAVE (Seniors and Veterans Emergency Benefits Act</w:t>
      </w:r>
      <w:r w:rsidRPr="003C2C39">
        <w:rPr>
          <w:rFonts w:ascii="Arial" w:eastAsia="Times New Roman" w:hAnsi="Arial" w:cs="Arial"/>
          <w:sz w:val="22"/>
          <w:szCs w:val="22"/>
        </w:rPr>
        <w:t xml:space="preserve"> (Duckworth)</w:t>
      </w:r>
      <w:r w:rsidRPr="003C2C39">
        <w:rPr>
          <w:rFonts w:ascii="Arial" w:eastAsia="Times New Roman" w:hAnsi="Arial" w:cs="Arial"/>
          <w:sz w:val="22"/>
          <w:szCs w:val="22"/>
        </w:rPr>
        <w:br/>
        <w:t>This bill directs the Department of the Treasury to disburse a payment equal to 3.9% of the average amount of annual benefits to certain individuals (except prisoners, fugitive felons, or aliens) who are entitled to a specified benefit under title II (Old Age, Survivors and Disability Insurance) (OASDI) of the Social Security Act (SSA), an annuity under the Railroad Retirement Act of 1974, a veterans benefit, or are eligible for a cash benefit under SSA title XVI (Supplemental Security Income), including a special benefit for individuals who perform substantial gainful activity despite severe medical impairment.</w:t>
      </w:r>
      <w:r>
        <w:rPr>
          <w:rFonts w:ascii="Arial" w:eastAsia="Times New Roman" w:hAnsi="Arial" w:cs="Arial"/>
          <w:sz w:val="22"/>
          <w:szCs w:val="22"/>
        </w:rPr>
        <w:t xml:space="preserve"> </w:t>
      </w:r>
      <w:r w:rsidRPr="003C2C39">
        <w:rPr>
          <w:rFonts w:ascii="Arial" w:eastAsia="Times New Roman" w:hAnsi="Arial" w:cs="Arial"/>
          <w:b/>
          <w:sz w:val="22"/>
          <w:szCs w:val="22"/>
        </w:rPr>
        <w:t>A refundable income tax credit is allowed for the first taxable year beginning in 2015 in an amount equal to $581 for certain eligible government retirees who do not receive such a payment</w:t>
      </w:r>
      <w:r w:rsidRPr="003C2C39">
        <w:rPr>
          <w:rFonts w:ascii="Arial" w:eastAsia="Times New Roman" w:hAnsi="Arial" w:cs="Arial"/>
          <w:sz w:val="22"/>
          <w:szCs w:val="22"/>
        </w:rPr>
        <w:t>.</w:t>
      </w:r>
    </w:p>
    <w:p w:rsidR="0039799C" w:rsidRPr="003C2C39" w:rsidRDefault="0039799C" w:rsidP="003C2C39">
      <w:pPr>
        <w:pStyle w:val="PlainText"/>
        <w:ind w:left="-90" w:right="-126"/>
        <w:rPr>
          <w:rFonts w:ascii="Arial" w:hAnsi="Arial" w:cs="Arial"/>
          <w:sz w:val="22"/>
          <w:szCs w:val="22"/>
        </w:rPr>
      </w:pPr>
      <w:r w:rsidRPr="003C2C39">
        <w:rPr>
          <w:rFonts w:ascii="Arial" w:hAnsi="Arial" w:cs="Arial"/>
          <w:sz w:val="22"/>
          <w:szCs w:val="22"/>
        </w:rPr>
        <w:t>Respectfully,</w:t>
      </w:r>
    </w:p>
    <w:p w:rsidR="0039799C" w:rsidRPr="003C2C39" w:rsidRDefault="0039799C" w:rsidP="003C2C39">
      <w:pPr>
        <w:pStyle w:val="PlainText"/>
        <w:ind w:left="-90" w:right="-126"/>
        <w:rPr>
          <w:rFonts w:ascii="Arial" w:hAnsi="Arial" w:cs="Arial"/>
          <w:sz w:val="22"/>
          <w:szCs w:val="22"/>
        </w:rPr>
      </w:pPr>
    </w:p>
    <w:p w:rsidR="0039799C" w:rsidRPr="003C2C39" w:rsidRDefault="0039799C" w:rsidP="003C2C39">
      <w:pPr>
        <w:pStyle w:val="PlainText"/>
        <w:ind w:left="-90" w:right="-126"/>
        <w:rPr>
          <w:rFonts w:ascii="Arial" w:hAnsi="Arial" w:cs="Arial"/>
          <w:sz w:val="22"/>
          <w:szCs w:val="22"/>
        </w:rPr>
      </w:pPr>
    </w:p>
    <w:p w:rsidR="0039799C" w:rsidRDefault="0039799C" w:rsidP="003C2C39">
      <w:pPr>
        <w:pStyle w:val="PlainText"/>
        <w:ind w:left="-90" w:right="-126"/>
        <w:rPr>
          <w:rFonts w:ascii="Arial" w:hAnsi="Arial" w:cs="Arial"/>
          <w:sz w:val="22"/>
          <w:szCs w:val="22"/>
        </w:rPr>
        <w:sectPr w:rsidR="0039799C" w:rsidSect="0039799C">
          <w:footerReference w:type="default" r:id="rId12"/>
          <w:pgSz w:w="12240" w:h="15840"/>
          <w:pgMar w:top="540" w:right="1080" w:bottom="630" w:left="1296" w:header="720" w:footer="720" w:gutter="0"/>
          <w:pgNumType w:start="1"/>
          <w:cols w:space="720"/>
          <w:docGrid w:linePitch="360"/>
        </w:sectPr>
      </w:pPr>
      <w:r>
        <w:rPr>
          <w:rFonts w:ascii="Arial" w:hAnsi="Arial" w:cs="Arial"/>
          <w:sz w:val="22"/>
          <w:szCs w:val="22"/>
        </w:rPr>
        <w:t>[Your name]</w:t>
      </w:r>
      <w:r>
        <w:rPr>
          <w:rFonts w:ascii="Arial" w:hAnsi="Arial" w:cs="Arial"/>
          <w:sz w:val="22"/>
          <w:szCs w:val="22"/>
        </w:rPr>
        <w:br/>
        <w:t>[Your Chapter]</w:t>
      </w:r>
    </w:p>
    <w:p w:rsidR="0039799C" w:rsidRPr="003C2C39" w:rsidRDefault="0039799C" w:rsidP="003C2C39">
      <w:pPr>
        <w:pStyle w:val="PlainText"/>
        <w:ind w:left="-90" w:right="-126"/>
        <w:rPr>
          <w:rFonts w:ascii="Arial" w:hAnsi="Arial" w:cs="Arial"/>
          <w:sz w:val="22"/>
          <w:szCs w:val="22"/>
        </w:rPr>
      </w:pPr>
    </w:p>
    <w:sectPr w:rsidR="0039799C" w:rsidRPr="003C2C39" w:rsidSect="0039799C">
      <w:footerReference w:type="default" r:id="rId13"/>
      <w:type w:val="continuous"/>
      <w:pgSz w:w="12240" w:h="15840"/>
      <w:pgMar w:top="540" w:right="1080"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5A" w:rsidRDefault="000E175A" w:rsidP="00486518">
      <w:r>
        <w:separator/>
      </w:r>
    </w:p>
  </w:endnote>
  <w:endnote w:type="continuationSeparator" w:id="0">
    <w:p w:rsidR="000E175A" w:rsidRDefault="000E175A" w:rsidP="0048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9C" w:rsidRPr="00486518" w:rsidRDefault="0039799C">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5D" w:rsidRPr="00486518" w:rsidRDefault="002C595D">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5A" w:rsidRDefault="000E175A" w:rsidP="00486518">
      <w:r>
        <w:separator/>
      </w:r>
    </w:p>
  </w:footnote>
  <w:footnote w:type="continuationSeparator" w:id="0">
    <w:p w:rsidR="000E175A" w:rsidRDefault="000E175A" w:rsidP="0048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001411"/>
    <w:rsid w:val="0001357A"/>
    <w:rsid w:val="000214C1"/>
    <w:rsid w:val="00043846"/>
    <w:rsid w:val="000670F1"/>
    <w:rsid w:val="00086320"/>
    <w:rsid w:val="000B4386"/>
    <w:rsid w:val="000D5F77"/>
    <w:rsid w:val="000E175A"/>
    <w:rsid w:val="000F7CBB"/>
    <w:rsid w:val="00140D00"/>
    <w:rsid w:val="001740DE"/>
    <w:rsid w:val="001B4693"/>
    <w:rsid w:val="001C3E02"/>
    <w:rsid w:val="002244EE"/>
    <w:rsid w:val="00262E7E"/>
    <w:rsid w:val="00270209"/>
    <w:rsid w:val="0028529A"/>
    <w:rsid w:val="002C595D"/>
    <w:rsid w:val="00301BB2"/>
    <w:rsid w:val="00306A6D"/>
    <w:rsid w:val="00322EC4"/>
    <w:rsid w:val="0039799C"/>
    <w:rsid w:val="003C07EF"/>
    <w:rsid w:val="003C2C39"/>
    <w:rsid w:val="003C7B78"/>
    <w:rsid w:val="003E457E"/>
    <w:rsid w:val="0041269A"/>
    <w:rsid w:val="00466197"/>
    <w:rsid w:val="0047356F"/>
    <w:rsid w:val="00473C6C"/>
    <w:rsid w:val="00486518"/>
    <w:rsid w:val="00501FC7"/>
    <w:rsid w:val="00503E38"/>
    <w:rsid w:val="00520F6F"/>
    <w:rsid w:val="00530AC4"/>
    <w:rsid w:val="00555CF5"/>
    <w:rsid w:val="005C2ED8"/>
    <w:rsid w:val="0061204F"/>
    <w:rsid w:val="00682101"/>
    <w:rsid w:val="006A0CFA"/>
    <w:rsid w:val="006B254C"/>
    <w:rsid w:val="006C1990"/>
    <w:rsid w:val="00767E81"/>
    <w:rsid w:val="00817BD4"/>
    <w:rsid w:val="00837DE8"/>
    <w:rsid w:val="008D2DCD"/>
    <w:rsid w:val="008D57F7"/>
    <w:rsid w:val="008E58AA"/>
    <w:rsid w:val="00921EF8"/>
    <w:rsid w:val="009650F0"/>
    <w:rsid w:val="009A762D"/>
    <w:rsid w:val="009B5FEC"/>
    <w:rsid w:val="009B72B5"/>
    <w:rsid w:val="009D7FE3"/>
    <w:rsid w:val="009E0F8E"/>
    <w:rsid w:val="009E53B6"/>
    <w:rsid w:val="00A369D3"/>
    <w:rsid w:val="00AA6988"/>
    <w:rsid w:val="00AC0B4E"/>
    <w:rsid w:val="00AE227B"/>
    <w:rsid w:val="00B008EA"/>
    <w:rsid w:val="00B05A9E"/>
    <w:rsid w:val="00B22750"/>
    <w:rsid w:val="00B33C8A"/>
    <w:rsid w:val="00B47E94"/>
    <w:rsid w:val="00B569DC"/>
    <w:rsid w:val="00B70104"/>
    <w:rsid w:val="00BA3A86"/>
    <w:rsid w:val="00C10AF5"/>
    <w:rsid w:val="00C12B7B"/>
    <w:rsid w:val="00C3562B"/>
    <w:rsid w:val="00C37B7C"/>
    <w:rsid w:val="00D14FF0"/>
    <w:rsid w:val="00D304CB"/>
    <w:rsid w:val="00D962BC"/>
    <w:rsid w:val="00DD0472"/>
    <w:rsid w:val="00DD5180"/>
    <w:rsid w:val="00DD5D50"/>
    <w:rsid w:val="00DE46A9"/>
    <w:rsid w:val="00E1242C"/>
    <w:rsid w:val="00E31115"/>
    <w:rsid w:val="00E52EC3"/>
    <w:rsid w:val="00E77728"/>
    <w:rsid w:val="00EB2E6B"/>
    <w:rsid w:val="00EB6B50"/>
    <w:rsid w:val="00EE6AB7"/>
    <w:rsid w:val="00F2770D"/>
    <w:rsid w:val="00FC20FA"/>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D3A"/>
  <w14:defaultImageDpi w14:val="300"/>
  <w15:chartTrackingRefBased/>
  <w15:docId w15:val="{015C385B-946F-1E41-9F26-EF38D06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69D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54C"/>
    <w:rPr>
      <w:rFonts w:ascii="Courier" w:hAnsi="Courier"/>
      <w:sz w:val="21"/>
      <w:szCs w:val="21"/>
    </w:rPr>
  </w:style>
  <w:style w:type="character" w:customStyle="1" w:styleId="PlainTextChar">
    <w:name w:val="Plain Text Char"/>
    <w:link w:val="PlainText"/>
    <w:uiPriority w:val="99"/>
    <w:rsid w:val="006B254C"/>
    <w:rPr>
      <w:rFonts w:ascii="Courier" w:hAnsi="Courier"/>
      <w:sz w:val="21"/>
      <w:szCs w:val="21"/>
    </w:rPr>
  </w:style>
  <w:style w:type="character" w:customStyle="1" w:styleId="Heading1Char">
    <w:name w:val="Heading 1 Char"/>
    <w:link w:val="Heading1"/>
    <w:uiPriority w:val="9"/>
    <w:rsid w:val="00B569DC"/>
    <w:rPr>
      <w:rFonts w:ascii="Calibri" w:eastAsia="MS Gothic" w:hAnsi="Calibri" w:cs="Times New Roman"/>
      <w:b/>
      <w:bCs/>
      <w:kern w:val="32"/>
      <w:sz w:val="32"/>
      <w:szCs w:val="32"/>
    </w:rPr>
  </w:style>
  <w:style w:type="paragraph" w:styleId="Header">
    <w:name w:val="header"/>
    <w:basedOn w:val="Normal"/>
    <w:link w:val="HeaderChar"/>
    <w:uiPriority w:val="99"/>
    <w:unhideWhenUsed/>
    <w:rsid w:val="00486518"/>
    <w:pPr>
      <w:tabs>
        <w:tab w:val="center" w:pos="4680"/>
        <w:tab w:val="right" w:pos="9360"/>
      </w:tabs>
    </w:pPr>
  </w:style>
  <w:style w:type="character" w:customStyle="1" w:styleId="HeaderChar">
    <w:name w:val="Header Char"/>
    <w:basedOn w:val="DefaultParagraphFont"/>
    <w:link w:val="Header"/>
    <w:uiPriority w:val="99"/>
    <w:rsid w:val="00486518"/>
    <w:rPr>
      <w:sz w:val="24"/>
      <w:szCs w:val="24"/>
    </w:rPr>
  </w:style>
  <w:style w:type="paragraph" w:styleId="Footer">
    <w:name w:val="footer"/>
    <w:basedOn w:val="Normal"/>
    <w:link w:val="FooterChar"/>
    <w:uiPriority w:val="99"/>
    <w:unhideWhenUsed/>
    <w:rsid w:val="00486518"/>
    <w:pPr>
      <w:tabs>
        <w:tab w:val="center" w:pos="4680"/>
        <w:tab w:val="right" w:pos="9360"/>
      </w:tabs>
    </w:pPr>
  </w:style>
  <w:style w:type="character" w:customStyle="1" w:styleId="FooterChar">
    <w:name w:val="Footer Char"/>
    <w:basedOn w:val="DefaultParagraphFont"/>
    <w:link w:val="Footer"/>
    <w:uiPriority w:val="99"/>
    <w:rsid w:val="00486518"/>
    <w:rPr>
      <w:sz w:val="24"/>
      <w:szCs w:val="24"/>
    </w:rPr>
  </w:style>
  <w:style w:type="character" w:styleId="Strong">
    <w:name w:val="Strong"/>
    <w:basedOn w:val="DefaultParagraphFont"/>
    <w:uiPriority w:val="22"/>
    <w:qFormat/>
    <w:rsid w:val="00E31115"/>
    <w:rPr>
      <w:b/>
      <w:bCs/>
    </w:rPr>
  </w:style>
  <w:style w:type="paragraph" w:styleId="NormalWeb">
    <w:name w:val="Normal (Web)"/>
    <w:basedOn w:val="Normal"/>
    <w:uiPriority w:val="99"/>
    <w:semiHidden/>
    <w:unhideWhenUsed/>
    <w:rsid w:val="00E7772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2C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5964">
      <w:bodyDiv w:val="1"/>
      <w:marLeft w:val="0"/>
      <w:marRight w:val="0"/>
      <w:marTop w:val="0"/>
      <w:marBottom w:val="0"/>
      <w:divBdr>
        <w:top w:val="none" w:sz="0" w:space="0" w:color="auto"/>
        <w:left w:val="none" w:sz="0" w:space="0" w:color="auto"/>
        <w:bottom w:val="none" w:sz="0" w:space="0" w:color="auto"/>
        <w:right w:val="none" w:sz="0" w:space="0" w:color="auto"/>
      </w:divBdr>
    </w:div>
    <w:div w:id="1212377917">
      <w:bodyDiv w:val="1"/>
      <w:marLeft w:val="0"/>
      <w:marRight w:val="0"/>
      <w:marTop w:val="0"/>
      <w:marBottom w:val="0"/>
      <w:divBdr>
        <w:top w:val="none" w:sz="0" w:space="0" w:color="auto"/>
        <w:left w:val="none" w:sz="0" w:space="0" w:color="auto"/>
        <w:bottom w:val="none" w:sz="0" w:space="0" w:color="auto"/>
        <w:right w:val="none" w:sz="0" w:space="0" w:color="auto"/>
      </w:divBdr>
      <w:divsChild>
        <w:div w:id="1157381065">
          <w:marLeft w:val="0"/>
          <w:marRight w:val="0"/>
          <w:marTop w:val="0"/>
          <w:marBottom w:val="0"/>
          <w:divBdr>
            <w:top w:val="none" w:sz="0" w:space="0" w:color="auto"/>
            <w:left w:val="none" w:sz="0" w:space="0" w:color="auto"/>
            <w:bottom w:val="none" w:sz="0" w:space="0" w:color="auto"/>
            <w:right w:val="none" w:sz="0" w:space="0" w:color="auto"/>
          </w:divBdr>
        </w:div>
        <w:div w:id="756558584">
          <w:marLeft w:val="0"/>
          <w:marRight w:val="0"/>
          <w:marTop w:val="0"/>
          <w:marBottom w:val="0"/>
          <w:divBdr>
            <w:top w:val="none" w:sz="0" w:space="0" w:color="auto"/>
            <w:left w:val="none" w:sz="0" w:space="0" w:color="auto"/>
            <w:bottom w:val="none" w:sz="0" w:space="0" w:color="auto"/>
            <w:right w:val="none" w:sz="0" w:space="0" w:color="auto"/>
          </w:divBdr>
        </w:div>
        <w:div w:id="1851599211">
          <w:marLeft w:val="0"/>
          <w:marRight w:val="0"/>
          <w:marTop w:val="0"/>
          <w:marBottom w:val="0"/>
          <w:divBdr>
            <w:top w:val="none" w:sz="0" w:space="0" w:color="auto"/>
            <w:left w:val="none" w:sz="0" w:space="0" w:color="auto"/>
            <w:bottom w:val="none" w:sz="0" w:space="0" w:color="auto"/>
            <w:right w:val="none" w:sz="0" w:space="0" w:color="auto"/>
          </w:divBdr>
        </w:div>
        <w:div w:id="230969643">
          <w:marLeft w:val="0"/>
          <w:marRight w:val="0"/>
          <w:marTop w:val="0"/>
          <w:marBottom w:val="0"/>
          <w:divBdr>
            <w:top w:val="none" w:sz="0" w:space="0" w:color="auto"/>
            <w:left w:val="none" w:sz="0" w:space="0" w:color="auto"/>
            <w:bottom w:val="none" w:sz="0" w:space="0" w:color="auto"/>
            <w:right w:val="none" w:sz="0" w:space="0" w:color="auto"/>
          </w:divBdr>
        </w:div>
        <w:div w:id="75827696">
          <w:marLeft w:val="0"/>
          <w:marRight w:val="0"/>
          <w:marTop w:val="0"/>
          <w:marBottom w:val="0"/>
          <w:divBdr>
            <w:top w:val="none" w:sz="0" w:space="0" w:color="auto"/>
            <w:left w:val="none" w:sz="0" w:space="0" w:color="auto"/>
            <w:bottom w:val="none" w:sz="0" w:space="0" w:color="auto"/>
            <w:right w:val="none" w:sz="0" w:space="0" w:color="auto"/>
          </w:divBdr>
        </w:div>
        <w:div w:id="1436750288">
          <w:marLeft w:val="0"/>
          <w:marRight w:val="0"/>
          <w:marTop w:val="0"/>
          <w:marBottom w:val="0"/>
          <w:divBdr>
            <w:top w:val="none" w:sz="0" w:space="0" w:color="auto"/>
            <w:left w:val="none" w:sz="0" w:space="0" w:color="auto"/>
            <w:bottom w:val="none" w:sz="0" w:space="0" w:color="auto"/>
            <w:right w:val="none" w:sz="0" w:space="0" w:color="auto"/>
          </w:divBdr>
        </w:div>
        <w:div w:id="1422683223">
          <w:marLeft w:val="0"/>
          <w:marRight w:val="0"/>
          <w:marTop w:val="0"/>
          <w:marBottom w:val="0"/>
          <w:divBdr>
            <w:top w:val="none" w:sz="0" w:space="0" w:color="auto"/>
            <w:left w:val="none" w:sz="0" w:space="0" w:color="auto"/>
            <w:bottom w:val="none" w:sz="0" w:space="0" w:color="auto"/>
            <w:right w:val="none" w:sz="0" w:space="0" w:color="auto"/>
          </w:divBdr>
        </w:div>
        <w:div w:id="6564309">
          <w:marLeft w:val="0"/>
          <w:marRight w:val="0"/>
          <w:marTop w:val="0"/>
          <w:marBottom w:val="0"/>
          <w:divBdr>
            <w:top w:val="none" w:sz="0" w:space="0" w:color="auto"/>
            <w:left w:val="none" w:sz="0" w:space="0" w:color="auto"/>
            <w:bottom w:val="none" w:sz="0" w:space="0" w:color="auto"/>
            <w:right w:val="none" w:sz="0" w:space="0" w:color="auto"/>
          </w:divBdr>
        </w:div>
        <w:div w:id="1832527249">
          <w:marLeft w:val="0"/>
          <w:marRight w:val="0"/>
          <w:marTop w:val="0"/>
          <w:marBottom w:val="0"/>
          <w:divBdr>
            <w:top w:val="none" w:sz="0" w:space="0" w:color="auto"/>
            <w:left w:val="none" w:sz="0" w:space="0" w:color="auto"/>
            <w:bottom w:val="none" w:sz="0" w:space="0" w:color="auto"/>
            <w:right w:val="none" w:sz="0" w:space="0" w:color="auto"/>
          </w:divBdr>
        </w:div>
        <w:div w:id="1306741544">
          <w:marLeft w:val="0"/>
          <w:marRight w:val="0"/>
          <w:marTop w:val="0"/>
          <w:marBottom w:val="0"/>
          <w:divBdr>
            <w:top w:val="none" w:sz="0" w:space="0" w:color="auto"/>
            <w:left w:val="none" w:sz="0" w:space="0" w:color="auto"/>
            <w:bottom w:val="none" w:sz="0" w:space="0" w:color="auto"/>
            <w:right w:val="none" w:sz="0" w:space="0" w:color="auto"/>
          </w:divBdr>
        </w:div>
        <w:div w:id="1862624392">
          <w:marLeft w:val="0"/>
          <w:marRight w:val="0"/>
          <w:marTop w:val="0"/>
          <w:marBottom w:val="0"/>
          <w:divBdr>
            <w:top w:val="none" w:sz="0" w:space="0" w:color="auto"/>
            <w:left w:val="none" w:sz="0" w:space="0" w:color="auto"/>
            <w:bottom w:val="none" w:sz="0" w:space="0" w:color="auto"/>
            <w:right w:val="none" w:sz="0" w:space="0" w:color="auto"/>
          </w:divBdr>
        </w:div>
      </w:divsChild>
    </w:div>
    <w:div w:id="1855144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4/hres39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track.us/congress/bills/114/hr41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track.us/congress/bills/114/hr1756" TargetMode="External"/><Relationship Id="rId4" Type="http://schemas.openxmlformats.org/officeDocument/2006/relationships/webSettings" Target="webSettings.xml"/><Relationship Id="rId9" Type="http://schemas.openxmlformats.org/officeDocument/2006/relationships/hyperlink" Target="https://www.govtrack.us/congress/bills/114/hr13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E417-EFA5-405E-8585-20C25B8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Mike Hersh and Associates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Andrea Miller</cp:lastModifiedBy>
  <cp:revision>1</cp:revision>
  <cp:lastPrinted>2016-07-19T11:38:00Z</cp:lastPrinted>
  <dcterms:created xsi:type="dcterms:W3CDTF">2016-08-15T22:33:00Z</dcterms:created>
  <dcterms:modified xsi:type="dcterms:W3CDTF">2016-08-15T22:33:00Z</dcterms:modified>
</cp:coreProperties>
</file>