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5877" w:rsidRPr="00086320" w:rsidRDefault="00F55877" w:rsidP="00530AC4">
      <w:pPr>
        <w:pStyle w:val="PlainText"/>
        <w:ind w:left="-90" w:right="-126"/>
        <w:rPr>
          <w:rFonts w:ascii="Arial" w:hAnsi="Arial" w:cs="Arial"/>
          <w:sz w:val="22"/>
          <w:szCs w:val="22"/>
        </w:rPr>
      </w:pPr>
      <w:r w:rsidRPr="00086320">
        <w:rPr>
          <w:rFonts w:ascii="Arial" w:hAnsi="Arial" w:cs="Arial"/>
          <w:noProof/>
          <w:sz w:val="22"/>
          <w:szCs w:val="22"/>
        </w:rPr>
        <w:drawing>
          <wp:anchor distT="0" distB="0" distL="114300" distR="114300" simplePos="0" relativeHeight="251659264" behindDoc="0" locked="0" layoutInCell="1" allowOverlap="1" wp14:anchorId="28F53972" wp14:editId="2A0FBDD2">
            <wp:simplePos x="0" y="0"/>
            <wp:positionH relativeFrom="margin">
              <wp:align>left</wp:align>
            </wp:positionH>
            <wp:positionV relativeFrom="paragraph">
              <wp:posOffset>52705</wp:posOffset>
            </wp:positionV>
            <wp:extent cx="907415" cy="960120"/>
            <wp:effectExtent l="0" t="0" r="698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eopleDemandingAction.jpg"/>
                    <pic:cNvPicPr/>
                  </pic:nvPicPr>
                  <pic:blipFill>
                    <a:blip r:embed="rId7"/>
                    <a:stretch>
                      <a:fillRect/>
                    </a:stretch>
                  </pic:blipFill>
                  <pic:spPr>
                    <a:xfrm>
                      <a:off x="0" y="0"/>
                      <a:ext cx="907415" cy="960120"/>
                    </a:xfrm>
                    <a:prstGeom prst="rect">
                      <a:avLst/>
                    </a:prstGeom>
                  </pic:spPr>
                </pic:pic>
              </a:graphicData>
            </a:graphic>
            <wp14:sizeRelH relativeFrom="page">
              <wp14:pctWidth>0</wp14:pctWidth>
            </wp14:sizeRelH>
            <wp14:sizeRelV relativeFrom="page">
              <wp14:pctHeight>0</wp14:pctHeight>
            </wp14:sizeRelV>
          </wp:anchor>
        </w:drawing>
      </w:r>
    </w:p>
    <w:p w:rsidR="00F55877" w:rsidRPr="00086320" w:rsidRDefault="00F55877" w:rsidP="00530AC4">
      <w:pPr>
        <w:pStyle w:val="PlainText"/>
        <w:ind w:left="-90" w:right="-126"/>
        <w:rPr>
          <w:rFonts w:ascii="Arial" w:hAnsi="Arial" w:cs="Arial"/>
          <w:sz w:val="22"/>
          <w:szCs w:val="22"/>
        </w:rPr>
      </w:pPr>
    </w:p>
    <w:p w:rsidR="00F55877" w:rsidRPr="00086320" w:rsidRDefault="00F55877" w:rsidP="00530AC4">
      <w:pPr>
        <w:pStyle w:val="PlainText"/>
        <w:ind w:left="-90" w:right="-126"/>
        <w:rPr>
          <w:rFonts w:ascii="Arial" w:hAnsi="Arial" w:cs="Arial"/>
          <w:sz w:val="22"/>
          <w:szCs w:val="22"/>
        </w:rPr>
      </w:pPr>
    </w:p>
    <w:p w:rsidR="00F55877" w:rsidRPr="00086320" w:rsidRDefault="00F55877" w:rsidP="00530AC4">
      <w:pPr>
        <w:pStyle w:val="PlainText"/>
        <w:ind w:left="-90" w:right="-126"/>
        <w:rPr>
          <w:rFonts w:ascii="Arial" w:hAnsi="Arial" w:cs="Arial"/>
          <w:sz w:val="22"/>
          <w:szCs w:val="22"/>
        </w:rPr>
      </w:pPr>
    </w:p>
    <w:p w:rsidR="00F55877" w:rsidRPr="00086320" w:rsidRDefault="00F55877" w:rsidP="00470A5E">
      <w:pPr>
        <w:pStyle w:val="PlainText"/>
        <w:ind w:left="-90" w:right="-126" w:firstLine="5670"/>
        <w:rPr>
          <w:rFonts w:ascii="Arial" w:hAnsi="Arial" w:cs="Arial"/>
          <w:sz w:val="22"/>
          <w:szCs w:val="22"/>
        </w:rPr>
      </w:pPr>
      <w:r>
        <w:rPr>
          <w:rFonts w:ascii="Arial" w:hAnsi="Arial" w:cs="Arial"/>
          <w:sz w:val="22"/>
          <w:szCs w:val="22"/>
        </w:rPr>
        <w:tab/>
        <w:t>August xx, 2016</w:t>
      </w:r>
    </w:p>
    <w:p w:rsidR="00F55877" w:rsidRPr="00086320" w:rsidRDefault="00F55877" w:rsidP="00530AC4">
      <w:pPr>
        <w:pStyle w:val="PlainText"/>
        <w:ind w:left="-90" w:right="-126"/>
        <w:rPr>
          <w:rFonts w:ascii="Arial" w:hAnsi="Arial" w:cs="Arial"/>
          <w:sz w:val="22"/>
          <w:szCs w:val="22"/>
        </w:rPr>
      </w:pPr>
    </w:p>
    <w:p w:rsidR="00F55877" w:rsidRPr="00086320" w:rsidRDefault="00F55877" w:rsidP="00530AC4">
      <w:pPr>
        <w:pStyle w:val="PlainText"/>
        <w:ind w:left="-90" w:right="-126"/>
        <w:rPr>
          <w:rFonts w:ascii="Arial" w:hAnsi="Arial" w:cs="Arial"/>
          <w:sz w:val="22"/>
          <w:szCs w:val="22"/>
        </w:rPr>
      </w:pPr>
    </w:p>
    <w:p w:rsidR="00F55877" w:rsidRDefault="00F55877" w:rsidP="00470A5E">
      <w:pPr>
        <w:pStyle w:val="PlainText"/>
        <w:ind w:right="-126"/>
        <w:rPr>
          <w:rFonts w:ascii="Arial" w:hAnsi="Arial" w:cs="Arial"/>
          <w:sz w:val="22"/>
          <w:szCs w:val="22"/>
        </w:rPr>
      </w:pPr>
    </w:p>
    <w:p w:rsidR="00F55877" w:rsidRPr="00086320" w:rsidRDefault="00F55877" w:rsidP="00530AC4">
      <w:pPr>
        <w:pStyle w:val="PlainText"/>
        <w:ind w:left="-90" w:right="-126"/>
        <w:rPr>
          <w:rFonts w:ascii="Arial" w:hAnsi="Arial" w:cs="Arial"/>
          <w:sz w:val="22"/>
          <w:szCs w:val="22"/>
        </w:rPr>
      </w:pPr>
      <w:r w:rsidRPr="00086320">
        <w:rPr>
          <w:rFonts w:ascii="Arial" w:hAnsi="Arial" w:cs="Arial"/>
          <w:sz w:val="22"/>
          <w:szCs w:val="22"/>
        </w:rPr>
        <w:t>The Honorable [</w:t>
      </w:r>
      <w:r>
        <w:rPr>
          <w:rFonts w:ascii="Arial" w:hAnsi="Arial" w:cs="Arial"/>
          <w:sz w:val="22"/>
          <w:szCs w:val="22"/>
        </w:rPr>
        <w:t>Senator</w:t>
      </w:r>
      <w:r w:rsidRPr="00086320">
        <w:rPr>
          <w:rFonts w:ascii="Arial" w:hAnsi="Arial" w:cs="Arial"/>
          <w:sz w:val="22"/>
          <w:szCs w:val="22"/>
        </w:rPr>
        <w:t xml:space="preserve"> First and Last Name]</w:t>
      </w:r>
    </w:p>
    <w:p w:rsidR="00F55877" w:rsidRPr="00086320" w:rsidRDefault="00F55877" w:rsidP="00530AC4">
      <w:pPr>
        <w:pStyle w:val="PlainText"/>
        <w:ind w:left="-90" w:right="-126"/>
        <w:rPr>
          <w:rFonts w:ascii="Arial" w:hAnsi="Arial" w:cs="Arial"/>
          <w:sz w:val="22"/>
          <w:szCs w:val="22"/>
        </w:rPr>
      </w:pPr>
      <w:r w:rsidRPr="00086320">
        <w:rPr>
          <w:rFonts w:ascii="Arial" w:hAnsi="Arial" w:cs="Arial"/>
          <w:sz w:val="22"/>
          <w:szCs w:val="22"/>
        </w:rPr>
        <w:t>Address</w:t>
      </w:r>
    </w:p>
    <w:p w:rsidR="00F55877" w:rsidRPr="00086320" w:rsidRDefault="00F55877" w:rsidP="00530AC4">
      <w:pPr>
        <w:pStyle w:val="PlainText"/>
        <w:ind w:left="-90" w:right="-126"/>
        <w:rPr>
          <w:rFonts w:ascii="Arial" w:hAnsi="Arial" w:cs="Arial"/>
          <w:sz w:val="22"/>
          <w:szCs w:val="22"/>
        </w:rPr>
      </w:pPr>
    </w:p>
    <w:p w:rsidR="00F55877" w:rsidRDefault="00F55877" w:rsidP="00530AC4">
      <w:pPr>
        <w:pStyle w:val="PlainText"/>
        <w:ind w:left="-90" w:right="-126"/>
        <w:rPr>
          <w:rFonts w:ascii="Arial" w:hAnsi="Arial" w:cs="Arial"/>
          <w:sz w:val="22"/>
          <w:szCs w:val="22"/>
        </w:rPr>
      </w:pPr>
      <w:r w:rsidRPr="00470A5E">
        <w:rPr>
          <w:rFonts w:ascii="Arial" w:hAnsi="Arial" w:cs="Arial"/>
          <w:sz w:val="22"/>
          <w:szCs w:val="22"/>
        </w:rPr>
        <w:t>Dear Senator [Senator Last Name],</w:t>
      </w:r>
    </w:p>
    <w:p w:rsidR="00F55877" w:rsidRPr="00470A5E" w:rsidRDefault="00F55877" w:rsidP="00530AC4">
      <w:pPr>
        <w:pStyle w:val="PlainText"/>
        <w:ind w:left="-90" w:right="-126"/>
        <w:rPr>
          <w:rFonts w:ascii="Arial" w:hAnsi="Arial" w:cs="Arial"/>
          <w:sz w:val="22"/>
          <w:szCs w:val="22"/>
        </w:rPr>
      </w:pPr>
    </w:p>
    <w:p w:rsidR="00F55877" w:rsidRPr="00470A5E" w:rsidRDefault="00F55877" w:rsidP="00530AC4">
      <w:pPr>
        <w:pStyle w:val="PlainText"/>
        <w:ind w:left="-90" w:right="-126"/>
        <w:rPr>
          <w:rFonts w:ascii="Arial" w:hAnsi="Arial" w:cs="Arial"/>
          <w:sz w:val="22"/>
          <w:szCs w:val="22"/>
        </w:rPr>
      </w:pPr>
      <w:r w:rsidRPr="00470A5E">
        <w:rPr>
          <w:rFonts w:ascii="Arial" w:hAnsi="Arial" w:cs="Arial"/>
          <w:sz w:val="22"/>
          <w:szCs w:val="22"/>
        </w:rPr>
        <w:t>Social Security has been gu</w:t>
      </w:r>
      <w:bookmarkStart w:id="0" w:name="_GoBack"/>
      <w:bookmarkEnd w:id="0"/>
      <w:r w:rsidRPr="00470A5E">
        <w:rPr>
          <w:rFonts w:ascii="Arial" w:hAnsi="Arial" w:cs="Arial"/>
          <w:sz w:val="22"/>
          <w:szCs w:val="22"/>
        </w:rPr>
        <w:t>aranteeing a steady income for seniors and the disabled for 81 years this month. Now is the time to work on expanding these benefits and implementing 21st century changes regarding Cost of Living Adjustments (COLA) and preparing to provide benefits for future generations.</w:t>
      </w:r>
    </w:p>
    <w:p w:rsidR="00F55877" w:rsidRPr="00470A5E" w:rsidRDefault="00F55877" w:rsidP="00530AC4">
      <w:pPr>
        <w:pStyle w:val="PlainText"/>
        <w:ind w:left="-90" w:right="-126"/>
        <w:rPr>
          <w:rFonts w:ascii="Arial" w:hAnsi="Arial" w:cs="Arial"/>
          <w:sz w:val="22"/>
          <w:szCs w:val="22"/>
        </w:rPr>
      </w:pPr>
    </w:p>
    <w:p w:rsidR="00F55877" w:rsidRPr="00470A5E" w:rsidRDefault="00F55877" w:rsidP="00470A5E">
      <w:pPr>
        <w:ind w:left="-90"/>
        <w:rPr>
          <w:rFonts w:ascii="Arial" w:eastAsia="Times New Roman" w:hAnsi="Arial" w:cs="Arial"/>
          <w:sz w:val="22"/>
          <w:szCs w:val="22"/>
        </w:rPr>
      </w:pPr>
      <w:hyperlink r:id="rId8" w:tgtFrame="_blank" w:history="1">
        <w:r w:rsidRPr="00470A5E">
          <w:rPr>
            <w:rFonts w:ascii="Arial" w:eastAsia="Times New Roman" w:hAnsi="Arial" w:cs="Arial"/>
            <w:b/>
            <w:bCs/>
            <w:color w:val="0000FF"/>
            <w:sz w:val="22"/>
            <w:szCs w:val="22"/>
            <w:u w:val="single"/>
          </w:rPr>
          <w:t>S. 731 - Social Security Expansion Act</w:t>
        </w:r>
      </w:hyperlink>
      <w:r w:rsidRPr="00470A5E">
        <w:rPr>
          <w:rFonts w:ascii="Arial" w:eastAsia="Times New Roman" w:hAnsi="Arial" w:cs="Arial"/>
          <w:b/>
          <w:bCs/>
          <w:sz w:val="22"/>
          <w:szCs w:val="22"/>
        </w:rPr>
        <w:t xml:space="preserve"> (Sanders)</w:t>
      </w:r>
      <w:r w:rsidRPr="00470A5E">
        <w:rPr>
          <w:rFonts w:ascii="Arial" w:eastAsia="Times New Roman" w:hAnsi="Arial" w:cs="Arial"/>
          <w:b/>
          <w:bCs/>
          <w:sz w:val="22"/>
          <w:szCs w:val="22"/>
        </w:rPr>
        <w:br/>
      </w:r>
      <w:r w:rsidRPr="00470A5E">
        <w:rPr>
          <w:rFonts w:ascii="Arial" w:eastAsia="Times New Roman" w:hAnsi="Arial" w:cs="Arial"/>
          <w:sz w:val="22"/>
          <w:szCs w:val="22"/>
        </w:rPr>
        <w:t xml:space="preserve">Immediately subjects earnings above $250k to the payroll tax. Creates temporary “doughnut hole” of earnings not taxed between current cap and $250k, which will close steadily as the current cap grows to $250k. Switches to the more accurate CPI-E. Changes the benefit formula in a way </w:t>
      </w:r>
    </w:p>
    <w:p w:rsidR="00F55877" w:rsidRPr="00470A5E" w:rsidRDefault="00F55877" w:rsidP="00470A5E">
      <w:pPr>
        <w:spacing w:after="240"/>
        <w:ind w:left="-90"/>
        <w:rPr>
          <w:rFonts w:ascii="Arial" w:eastAsia="Times New Roman" w:hAnsi="Arial" w:cs="Arial"/>
          <w:sz w:val="22"/>
          <w:szCs w:val="22"/>
        </w:rPr>
      </w:pPr>
      <w:r w:rsidRPr="00470A5E">
        <w:rPr>
          <w:rFonts w:ascii="Arial" w:eastAsia="Times New Roman" w:hAnsi="Arial" w:cs="Arial"/>
          <w:sz w:val="22"/>
          <w:szCs w:val="22"/>
        </w:rPr>
        <w:t>which boosts benefits for all Social Security beneficiaries by approximately $65 per month.</w:t>
      </w:r>
    </w:p>
    <w:p w:rsidR="00F55877" w:rsidRPr="00470A5E" w:rsidRDefault="00F55877" w:rsidP="00470A5E">
      <w:pPr>
        <w:ind w:left="-90"/>
        <w:rPr>
          <w:rFonts w:ascii="Arial" w:eastAsia="Times New Roman" w:hAnsi="Arial" w:cs="Arial"/>
          <w:sz w:val="22"/>
          <w:szCs w:val="22"/>
        </w:rPr>
      </w:pPr>
      <w:hyperlink r:id="rId9" w:tgtFrame="_blank" w:history="1">
        <w:r w:rsidRPr="00470A5E">
          <w:rPr>
            <w:rFonts w:ascii="Arial" w:eastAsia="Times New Roman" w:hAnsi="Arial" w:cs="Arial"/>
            <w:b/>
            <w:bCs/>
            <w:color w:val="0000FF"/>
            <w:sz w:val="22"/>
            <w:szCs w:val="22"/>
            <w:u w:val="single"/>
          </w:rPr>
          <w:t>S. 1904 - Social Security 2100 Act</w:t>
        </w:r>
      </w:hyperlink>
      <w:r w:rsidRPr="00470A5E">
        <w:rPr>
          <w:rFonts w:ascii="Arial" w:eastAsia="Times New Roman" w:hAnsi="Arial" w:cs="Arial"/>
          <w:b/>
          <w:bCs/>
          <w:sz w:val="22"/>
          <w:szCs w:val="22"/>
        </w:rPr>
        <w:t xml:space="preserve"> (Blumenthal)</w:t>
      </w:r>
      <w:r w:rsidRPr="00470A5E">
        <w:rPr>
          <w:rFonts w:ascii="Arial" w:eastAsia="Times New Roman" w:hAnsi="Arial" w:cs="Arial"/>
          <w:b/>
          <w:bCs/>
          <w:sz w:val="22"/>
          <w:szCs w:val="22"/>
        </w:rPr>
        <w:br/>
      </w:r>
      <w:r w:rsidRPr="00470A5E">
        <w:rPr>
          <w:rFonts w:ascii="Arial" w:eastAsia="Times New Roman" w:hAnsi="Arial" w:cs="Arial"/>
          <w:sz w:val="22"/>
          <w:szCs w:val="22"/>
        </w:rPr>
        <w:t xml:space="preserve">Provides an across the board 2% increase for all beneficiaries so that all Social Security recipients would see an immediate benefit increase starting in 2015. Switches to the more accurate CPI-E. </w:t>
      </w:r>
    </w:p>
    <w:p w:rsidR="00F55877" w:rsidRPr="00470A5E" w:rsidRDefault="00F55877" w:rsidP="00470A5E">
      <w:pPr>
        <w:ind w:left="-90"/>
        <w:rPr>
          <w:rFonts w:ascii="Arial" w:eastAsia="Times New Roman" w:hAnsi="Arial" w:cs="Arial"/>
          <w:sz w:val="22"/>
          <w:szCs w:val="22"/>
        </w:rPr>
      </w:pPr>
      <w:r w:rsidRPr="00470A5E">
        <w:rPr>
          <w:rFonts w:ascii="Arial" w:eastAsia="Times New Roman" w:hAnsi="Arial" w:cs="Arial"/>
          <w:sz w:val="22"/>
          <w:szCs w:val="22"/>
        </w:rPr>
        <w:t xml:space="preserve">Protects the lowest income beneficiaries be ensuring that those who paid into the system </w:t>
      </w:r>
    </w:p>
    <w:p w:rsidR="00F55877" w:rsidRPr="00470A5E" w:rsidRDefault="00F55877" w:rsidP="00470A5E">
      <w:pPr>
        <w:ind w:left="-90"/>
        <w:rPr>
          <w:rFonts w:ascii="Arial" w:eastAsia="Times New Roman" w:hAnsi="Arial" w:cs="Arial"/>
          <w:sz w:val="22"/>
          <w:szCs w:val="22"/>
        </w:rPr>
      </w:pPr>
      <w:r w:rsidRPr="00470A5E">
        <w:rPr>
          <w:rFonts w:ascii="Arial" w:eastAsia="Times New Roman" w:hAnsi="Arial" w:cs="Arial"/>
          <w:sz w:val="22"/>
          <w:szCs w:val="22"/>
        </w:rPr>
        <w:t xml:space="preserve">receive a minimum benefit equal to 125% of the poverty line. Over 24 years, increases the payroll tax on workers and employers from 6.2% to 7.4%. This is a 0.05% increase each year would be the equivalent of 50 cents per week cumulatively. Lift the cap by applying the payroll tax to </w:t>
      </w:r>
    </w:p>
    <w:p w:rsidR="00F55877" w:rsidRPr="00470A5E" w:rsidRDefault="00F55877" w:rsidP="00470A5E">
      <w:pPr>
        <w:spacing w:after="240"/>
        <w:ind w:left="-90"/>
        <w:rPr>
          <w:rFonts w:ascii="Arial" w:eastAsia="Times New Roman" w:hAnsi="Arial" w:cs="Arial"/>
          <w:sz w:val="22"/>
          <w:szCs w:val="22"/>
        </w:rPr>
      </w:pPr>
      <w:r w:rsidRPr="00470A5E">
        <w:rPr>
          <w:rFonts w:ascii="Arial" w:eastAsia="Times New Roman" w:hAnsi="Arial" w:cs="Arial"/>
          <w:sz w:val="22"/>
          <w:szCs w:val="22"/>
        </w:rPr>
        <w:t>earners making more than $400,000. Ensures the solvency of the DI Trust Fund through a clean reallocation of the payroll tax.</w:t>
      </w:r>
    </w:p>
    <w:p w:rsidR="00F55877" w:rsidRPr="00470A5E" w:rsidRDefault="00F55877" w:rsidP="00470A5E">
      <w:pPr>
        <w:ind w:left="-90"/>
        <w:rPr>
          <w:rFonts w:ascii="Arial" w:eastAsia="Times New Roman" w:hAnsi="Arial" w:cs="Arial"/>
          <w:sz w:val="22"/>
          <w:szCs w:val="22"/>
        </w:rPr>
      </w:pPr>
      <w:hyperlink r:id="rId10" w:tgtFrame="_blank" w:history="1">
        <w:r w:rsidRPr="00470A5E">
          <w:rPr>
            <w:rFonts w:ascii="Arial" w:eastAsia="Times New Roman" w:hAnsi="Arial" w:cs="Arial"/>
            <w:b/>
            <w:bCs/>
            <w:color w:val="0000FF"/>
            <w:sz w:val="22"/>
            <w:szCs w:val="22"/>
            <w:u w:val="single"/>
          </w:rPr>
          <w:t>S. 1940 - SAFE Social Security Act</w:t>
        </w:r>
      </w:hyperlink>
      <w:r w:rsidRPr="00470A5E">
        <w:rPr>
          <w:rFonts w:ascii="Arial" w:eastAsia="Times New Roman" w:hAnsi="Arial" w:cs="Arial"/>
          <w:b/>
          <w:bCs/>
          <w:sz w:val="22"/>
          <w:szCs w:val="22"/>
        </w:rPr>
        <w:t xml:space="preserve"> (Schatz)</w:t>
      </w:r>
      <w:r w:rsidRPr="00470A5E">
        <w:rPr>
          <w:rFonts w:ascii="Arial" w:eastAsia="Times New Roman" w:hAnsi="Arial" w:cs="Arial"/>
          <w:sz w:val="22"/>
          <w:szCs w:val="22"/>
        </w:rPr>
        <w:br/>
        <w:t xml:space="preserve">Ensures millionaires and billionaires pay the same rate as the rest of Americans by gradually </w:t>
      </w:r>
      <w:proofErr w:type="spellStart"/>
      <w:r w:rsidRPr="00470A5E">
        <w:rPr>
          <w:rFonts w:ascii="Arial" w:eastAsia="Times New Roman" w:hAnsi="Arial" w:cs="Arial"/>
          <w:sz w:val="22"/>
          <w:szCs w:val="22"/>
        </w:rPr>
        <w:t>elimina</w:t>
      </w:r>
      <w:proofErr w:type="spellEnd"/>
    </w:p>
    <w:p w:rsidR="00F55877" w:rsidRPr="00470A5E" w:rsidRDefault="00F55877" w:rsidP="00470A5E">
      <w:pPr>
        <w:ind w:left="-90"/>
        <w:rPr>
          <w:rFonts w:ascii="Arial" w:eastAsia="Times New Roman" w:hAnsi="Arial" w:cs="Arial"/>
          <w:sz w:val="22"/>
          <w:szCs w:val="22"/>
        </w:rPr>
      </w:pPr>
      <w:r w:rsidRPr="00470A5E">
        <w:rPr>
          <w:rFonts w:ascii="Arial" w:eastAsia="Times New Roman" w:hAnsi="Arial" w:cs="Arial"/>
          <w:sz w:val="22"/>
          <w:szCs w:val="22"/>
        </w:rPr>
        <w:t xml:space="preserve">ting the Social Security tax cap. Changes the benefit formula in a way which boosts benefits for all Social Security beneficiaries by approximately $70 per month. Benefit increase is targeted to </w:t>
      </w:r>
    </w:p>
    <w:p w:rsidR="00F55877" w:rsidRPr="00470A5E" w:rsidRDefault="00F55877" w:rsidP="00470A5E">
      <w:pPr>
        <w:spacing w:after="240"/>
        <w:ind w:left="-90"/>
        <w:rPr>
          <w:rFonts w:ascii="Arial" w:eastAsia="Times New Roman" w:hAnsi="Arial" w:cs="Arial"/>
          <w:sz w:val="22"/>
          <w:szCs w:val="22"/>
        </w:rPr>
      </w:pPr>
      <w:r w:rsidRPr="00470A5E">
        <w:rPr>
          <w:rFonts w:ascii="Arial" w:eastAsia="Times New Roman" w:hAnsi="Arial" w:cs="Arial"/>
          <w:sz w:val="22"/>
          <w:szCs w:val="22"/>
        </w:rPr>
        <w:t>help those in the low and middle of the income distribution. Switches to the more accurate CPI-E.</w:t>
      </w:r>
    </w:p>
    <w:p w:rsidR="00F55877" w:rsidRPr="00470A5E" w:rsidRDefault="00F55877" w:rsidP="00470A5E">
      <w:pPr>
        <w:spacing w:after="240"/>
        <w:ind w:left="-90"/>
        <w:rPr>
          <w:rFonts w:ascii="Arial" w:eastAsia="Times New Roman" w:hAnsi="Arial" w:cs="Arial"/>
          <w:sz w:val="22"/>
          <w:szCs w:val="22"/>
        </w:rPr>
      </w:pPr>
      <w:hyperlink r:id="rId11" w:tgtFrame="_blank" w:history="1">
        <w:r w:rsidRPr="00470A5E">
          <w:rPr>
            <w:rFonts w:ascii="Arial" w:eastAsia="Times New Roman" w:hAnsi="Arial" w:cs="Arial"/>
            <w:b/>
            <w:bCs/>
            <w:color w:val="0000FF"/>
            <w:sz w:val="22"/>
            <w:szCs w:val="22"/>
            <w:u w:val="single"/>
          </w:rPr>
          <w:t>S. 2251 - SAVE (Seniors and Veterans Emergency Benefits Act</w:t>
        </w:r>
      </w:hyperlink>
      <w:r w:rsidRPr="00470A5E">
        <w:rPr>
          <w:rFonts w:ascii="Arial" w:eastAsia="Times New Roman" w:hAnsi="Arial" w:cs="Arial"/>
          <w:b/>
          <w:bCs/>
          <w:sz w:val="22"/>
          <w:szCs w:val="22"/>
        </w:rPr>
        <w:t xml:space="preserve"> (Warren)</w:t>
      </w:r>
      <w:r w:rsidRPr="00470A5E">
        <w:rPr>
          <w:rFonts w:ascii="Arial" w:eastAsia="Times New Roman" w:hAnsi="Arial" w:cs="Arial"/>
          <w:b/>
          <w:bCs/>
          <w:sz w:val="22"/>
          <w:szCs w:val="22"/>
        </w:rPr>
        <w:br/>
      </w:r>
      <w:r w:rsidRPr="00470A5E">
        <w:rPr>
          <w:rFonts w:ascii="Arial" w:eastAsia="Times New Roman" w:hAnsi="Arial" w:cs="Arial"/>
          <w:sz w:val="22"/>
          <w:szCs w:val="22"/>
        </w:rPr>
        <w:t>This bill directs the Department of the Treasury to disburse a payment equal to 3.9% of the average amount of annual benefits to certain individuals (except prisoners, fugitive felons, or aliens) who are entitled to a specified benefit under title II (Old Age, Survivors and Disability Insurance) (OASDI) of the Social Security Act (SSA), an annuity under the Railroad Retirement Act of 1974, a veterans benefit, or are eligible for a cash benefit under SSA title XVI (Supplemental Security Income), including a special benefit for individuals who perform substantial gainful activity despite severe medical impairment.</w:t>
      </w:r>
    </w:p>
    <w:p w:rsidR="00F55877" w:rsidRPr="00470A5E" w:rsidRDefault="00F55877" w:rsidP="00470A5E">
      <w:pPr>
        <w:spacing w:before="100" w:beforeAutospacing="1" w:after="100" w:afterAutospacing="1"/>
        <w:ind w:left="-90"/>
        <w:rPr>
          <w:rFonts w:ascii="Arial" w:eastAsia="Times New Roman" w:hAnsi="Arial" w:cs="Arial"/>
          <w:sz w:val="22"/>
          <w:szCs w:val="22"/>
        </w:rPr>
      </w:pPr>
      <w:r w:rsidRPr="00470A5E">
        <w:rPr>
          <w:rFonts w:ascii="Arial" w:eastAsia="Times New Roman" w:hAnsi="Arial" w:cs="Arial"/>
          <w:sz w:val="22"/>
          <w:szCs w:val="22"/>
        </w:rPr>
        <w:t>A refundable income tax credit is allowed for the first taxable year beginning in 2015 in an amount equal to $581 for certain eligible government retirees who do not receive such a payment.</w:t>
      </w:r>
    </w:p>
    <w:p w:rsidR="00F55877" w:rsidRPr="00470A5E" w:rsidRDefault="00F55877" w:rsidP="00470A5E">
      <w:pPr>
        <w:pStyle w:val="PlainText"/>
        <w:ind w:left="-90" w:right="-126"/>
        <w:rPr>
          <w:rFonts w:ascii="Arial" w:hAnsi="Arial" w:cs="Arial"/>
          <w:sz w:val="22"/>
          <w:szCs w:val="22"/>
        </w:rPr>
      </w:pPr>
      <w:r w:rsidRPr="00470A5E">
        <w:rPr>
          <w:rFonts w:ascii="Arial" w:hAnsi="Arial" w:cs="Arial"/>
          <w:sz w:val="22"/>
          <w:szCs w:val="22"/>
        </w:rPr>
        <w:t>Respectfully,</w:t>
      </w:r>
    </w:p>
    <w:p w:rsidR="00F55877" w:rsidRPr="00470A5E" w:rsidRDefault="00F55877" w:rsidP="00470A5E">
      <w:pPr>
        <w:pStyle w:val="PlainText"/>
        <w:ind w:left="-90" w:right="-126"/>
        <w:rPr>
          <w:rFonts w:ascii="Arial" w:hAnsi="Arial" w:cs="Arial"/>
          <w:sz w:val="22"/>
          <w:szCs w:val="22"/>
        </w:rPr>
      </w:pPr>
    </w:p>
    <w:p w:rsidR="00F55877" w:rsidRPr="00470A5E" w:rsidRDefault="00F55877" w:rsidP="00470A5E">
      <w:pPr>
        <w:pStyle w:val="PlainText"/>
        <w:ind w:left="-90" w:right="-126"/>
        <w:rPr>
          <w:rFonts w:ascii="Arial" w:hAnsi="Arial" w:cs="Arial"/>
          <w:sz w:val="22"/>
          <w:szCs w:val="22"/>
        </w:rPr>
      </w:pPr>
    </w:p>
    <w:p w:rsidR="00F55877" w:rsidRPr="00470A5E" w:rsidRDefault="00F55877" w:rsidP="00470A5E">
      <w:pPr>
        <w:pStyle w:val="PlainText"/>
        <w:ind w:left="-90" w:right="-126"/>
        <w:rPr>
          <w:rFonts w:ascii="Arial" w:hAnsi="Arial" w:cs="Arial"/>
          <w:sz w:val="22"/>
          <w:szCs w:val="22"/>
        </w:rPr>
      </w:pPr>
      <w:r w:rsidRPr="00470A5E">
        <w:rPr>
          <w:rFonts w:ascii="Arial" w:hAnsi="Arial" w:cs="Arial"/>
          <w:sz w:val="22"/>
          <w:szCs w:val="22"/>
        </w:rPr>
        <w:t>[NAME]</w:t>
      </w:r>
    </w:p>
    <w:p w:rsidR="00F55877" w:rsidRDefault="00F55877" w:rsidP="00470A5E">
      <w:pPr>
        <w:pStyle w:val="PlainText"/>
        <w:ind w:left="-90" w:right="-126"/>
        <w:rPr>
          <w:rFonts w:ascii="Arial" w:hAnsi="Arial" w:cs="Arial"/>
          <w:sz w:val="22"/>
          <w:szCs w:val="22"/>
        </w:rPr>
        <w:sectPr w:rsidR="00F55877" w:rsidSect="00F55877">
          <w:footerReference w:type="default" r:id="rId12"/>
          <w:pgSz w:w="12240" w:h="15840"/>
          <w:pgMar w:top="540" w:right="1080" w:bottom="630" w:left="1296" w:header="720" w:footer="720" w:gutter="0"/>
          <w:pgNumType w:start="1"/>
          <w:cols w:space="720"/>
          <w:docGrid w:linePitch="360"/>
        </w:sectPr>
      </w:pPr>
      <w:r w:rsidRPr="00470A5E">
        <w:rPr>
          <w:rFonts w:ascii="Arial" w:hAnsi="Arial" w:cs="Arial"/>
          <w:sz w:val="22"/>
          <w:szCs w:val="22"/>
        </w:rPr>
        <w:t>[STATE/CHAPTER]</w:t>
      </w:r>
    </w:p>
    <w:p w:rsidR="00F55877" w:rsidRPr="00470A5E" w:rsidRDefault="00F55877" w:rsidP="00470A5E">
      <w:pPr>
        <w:pStyle w:val="PlainText"/>
        <w:ind w:left="-90" w:right="-126"/>
        <w:rPr>
          <w:rFonts w:ascii="Arial" w:hAnsi="Arial" w:cs="Arial"/>
          <w:sz w:val="22"/>
          <w:szCs w:val="22"/>
        </w:rPr>
      </w:pPr>
    </w:p>
    <w:sectPr w:rsidR="00F55877" w:rsidRPr="00470A5E" w:rsidSect="00F55877">
      <w:footerReference w:type="default" r:id="rId13"/>
      <w:type w:val="continuous"/>
      <w:pgSz w:w="12240" w:h="15840"/>
      <w:pgMar w:top="540" w:right="1080" w:bottom="630"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1541" w:rsidRDefault="00D31541" w:rsidP="00486518">
      <w:r>
        <w:separator/>
      </w:r>
    </w:p>
  </w:endnote>
  <w:endnote w:type="continuationSeparator" w:id="0">
    <w:p w:rsidR="00D31541" w:rsidRDefault="00D31541" w:rsidP="004865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5877" w:rsidRPr="00486518" w:rsidRDefault="00F55877">
    <w:pPr>
      <w:pStyle w:val="Footer"/>
      <w:rPr>
        <w:rFonts w:ascii="Arial" w:hAnsi="Arial" w:cs="Arial"/>
        <w:sz w:val="20"/>
        <w:szCs w:val="20"/>
      </w:rPr>
    </w:pPr>
    <w:r w:rsidRPr="00486518">
      <w:rPr>
        <w:rFonts w:ascii="Arial" w:hAnsi="Arial" w:cs="Arial"/>
        <w:sz w:val="20"/>
        <w:szCs w:val="20"/>
      </w:rPr>
      <w:t>People Demanding Action</w:t>
    </w:r>
    <w:r w:rsidRPr="00486518">
      <w:rPr>
        <w:rFonts w:ascii="Arial" w:hAnsi="Arial" w:cs="Arial"/>
        <w:sz w:val="20"/>
        <w:szCs w:val="20"/>
      </w:rPr>
      <w:tab/>
    </w:r>
    <w:r>
      <w:rPr>
        <w:rFonts w:ascii="Arial" w:hAnsi="Arial" w:cs="Arial"/>
        <w:sz w:val="20"/>
        <w:szCs w:val="20"/>
      </w:rPr>
      <w:t>Ruther Glen</w:t>
    </w:r>
    <w:r w:rsidRPr="00486518">
      <w:rPr>
        <w:rFonts w:ascii="Arial" w:hAnsi="Arial" w:cs="Arial"/>
        <w:sz w:val="20"/>
        <w:szCs w:val="20"/>
      </w:rPr>
      <w:t>, VA</w:t>
    </w:r>
    <w:r w:rsidRPr="00486518">
      <w:rPr>
        <w:rFonts w:ascii="Arial" w:hAnsi="Arial" w:cs="Arial"/>
        <w:sz w:val="20"/>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1115" w:rsidRPr="00486518" w:rsidRDefault="00E31115">
    <w:pPr>
      <w:pStyle w:val="Footer"/>
      <w:rPr>
        <w:rFonts w:ascii="Arial" w:hAnsi="Arial" w:cs="Arial"/>
        <w:sz w:val="20"/>
        <w:szCs w:val="20"/>
      </w:rPr>
    </w:pPr>
    <w:r w:rsidRPr="00486518">
      <w:rPr>
        <w:rFonts w:ascii="Arial" w:hAnsi="Arial" w:cs="Arial"/>
        <w:sz w:val="20"/>
        <w:szCs w:val="20"/>
      </w:rPr>
      <w:t>People Demanding Action</w:t>
    </w:r>
    <w:r w:rsidRPr="00486518">
      <w:rPr>
        <w:rFonts w:ascii="Arial" w:hAnsi="Arial" w:cs="Arial"/>
        <w:sz w:val="20"/>
        <w:szCs w:val="20"/>
      </w:rPr>
      <w:tab/>
    </w:r>
    <w:r w:rsidR="00520F6F">
      <w:rPr>
        <w:rFonts w:ascii="Arial" w:hAnsi="Arial" w:cs="Arial"/>
        <w:sz w:val="20"/>
        <w:szCs w:val="20"/>
      </w:rPr>
      <w:t>Ruther Glen</w:t>
    </w:r>
    <w:r w:rsidRPr="00486518">
      <w:rPr>
        <w:rFonts w:ascii="Arial" w:hAnsi="Arial" w:cs="Arial"/>
        <w:sz w:val="20"/>
        <w:szCs w:val="20"/>
      </w:rPr>
      <w:t>, VA</w:t>
    </w:r>
    <w:r w:rsidRPr="00486518">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1541" w:rsidRDefault="00D31541" w:rsidP="00486518">
      <w:r>
        <w:separator/>
      </w:r>
    </w:p>
  </w:footnote>
  <w:footnote w:type="continuationSeparator" w:id="0">
    <w:p w:rsidR="00D31541" w:rsidRDefault="00D31541" w:rsidP="004865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180"/>
    <w:rsid w:val="00001411"/>
    <w:rsid w:val="0001357A"/>
    <w:rsid w:val="000214C1"/>
    <w:rsid w:val="00043846"/>
    <w:rsid w:val="000670F1"/>
    <w:rsid w:val="00086320"/>
    <w:rsid w:val="000B0AD8"/>
    <w:rsid w:val="000B4386"/>
    <w:rsid w:val="000D5F77"/>
    <w:rsid w:val="000F7CBB"/>
    <w:rsid w:val="00140D00"/>
    <w:rsid w:val="001561EC"/>
    <w:rsid w:val="002244EE"/>
    <w:rsid w:val="00262E7E"/>
    <w:rsid w:val="00270209"/>
    <w:rsid w:val="0028529A"/>
    <w:rsid w:val="00301BB2"/>
    <w:rsid w:val="00306A6D"/>
    <w:rsid w:val="00322EC4"/>
    <w:rsid w:val="003C07EF"/>
    <w:rsid w:val="003C7B78"/>
    <w:rsid w:val="003E457E"/>
    <w:rsid w:val="0041269A"/>
    <w:rsid w:val="00466197"/>
    <w:rsid w:val="00470A5E"/>
    <w:rsid w:val="0047356F"/>
    <w:rsid w:val="00473C6C"/>
    <w:rsid w:val="00486518"/>
    <w:rsid w:val="00501FC7"/>
    <w:rsid w:val="00503E38"/>
    <w:rsid w:val="00520F6F"/>
    <w:rsid w:val="00530AC4"/>
    <w:rsid w:val="00555CF5"/>
    <w:rsid w:val="005C2ED8"/>
    <w:rsid w:val="0061204F"/>
    <w:rsid w:val="00682101"/>
    <w:rsid w:val="006A0CFA"/>
    <w:rsid w:val="006B254C"/>
    <w:rsid w:val="00767E81"/>
    <w:rsid w:val="00817BD4"/>
    <w:rsid w:val="00837DE8"/>
    <w:rsid w:val="008D2DCD"/>
    <w:rsid w:val="008D57F7"/>
    <w:rsid w:val="008E58AA"/>
    <w:rsid w:val="00921EF8"/>
    <w:rsid w:val="009650F0"/>
    <w:rsid w:val="009A762D"/>
    <w:rsid w:val="009B72B5"/>
    <w:rsid w:val="009C7C84"/>
    <w:rsid w:val="009D7FE3"/>
    <w:rsid w:val="009E0F8E"/>
    <w:rsid w:val="009E53B6"/>
    <w:rsid w:val="00A0506B"/>
    <w:rsid w:val="00A57AB7"/>
    <w:rsid w:val="00AA6988"/>
    <w:rsid w:val="00AC0B4E"/>
    <w:rsid w:val="00AE227B"/>
    <w:rsid w:val="00B008EA"/>
    <w:rsid w:val="00B22750"/>
    <w:rsid w:val="00B33C8A"/>
    <w:rsid w:val="00B47E94"/>
    <w:rsid w:val="00B569DC"/>
    <w:rsid w:val="00B70104"/>
    <w:rsid w:val="00BA3A86"/>
    <w:rsid w:val="00C10AF5"/>
    <w:rsid w:val="00C12B7B"/>
    <w:rsid w:val="00C3562B"/>
    <w:rsid w:val="00C37B7C"/>
    <w:rsid w:val="00C81358"/>
    <w:rsid w:val="00D14FF0"/>
    <w:rsid w:val="00D31541"/>
    <w:rsid w:val="00D962BC"/>
    <w:rsid w:val="00DD0472"/>
    <w:rsid w:val="00DD5180"/>
    <w:rsid w:val="00DD5D50"/>
    <w:rsid w:val="00DE46A9"/>
    <w:rsid w:val="00E1242C"/>
    <w:rsid w:val="00E31115"/>
    <w:rsid w:val="00E52EC3"/>
    <w:rsid w:val="00E77728"/>
    <w:rsid w:val="00EB2E6B"/>
    <w:rsid w:val="00EB6B50"/>
    <w:rsid w:val="00F2770D"/>
    <w:rsid w:val="00F55877"/>
    <w:rsid w:val="00FC20FA"/>
    <w:rsid w:val="00FF5B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DCED3A"/>
  <w14:defaultImageDpi w14:val="300"/>
  <w15:chartTrackingRefBased/>
  <w15:docId w15:val="{015C385B-946F-1E41-9F26-EF38D0642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B569DC"/>
    <w:pPr>
      <w:keepNext/>
      <w:spacing w:before="240" w:after="60"/>
      <w:outlineLvl w:val="0"/>
    </w:pPr>
    <w:rPr>
      <w:rFonts w:ascii="Calibri" w:eastAsia="MS Gothic" w:hAnsi="Calibr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6B254C"/>
    <w:rPr>
      <w:rFonts w:ascii="Courier" w:hAnsi="Courier"/>
      <w:sz w:val="21"/>
      <w:szCs w:val="21"/>
    </w:rPr>
  </w:style>
  <w:style w:type="character" w:customStyle="1" w:styleId="PlainTextChar">
    <w:name w:val="Plain Text Char"/>
    <w:link w:val="PlainText"/>
    <w:uiPriority w:val="99"/>
    <w:rsid w:val="006B254C"/>
    <w:rPr>
      <w:rFonts w:ascii="Courier" w:hAnsi="Courier"/>
      <w:sz w:val="21"/>
      <w:szCs w:val="21"/>
    </w:rPr>
  </w:style>
  <w:style w:type="character" w:customStyle="1" w:styleId="Heading1Char">
    <w:name w:val="Heading 1 Char"/>
    <w:link w:val="Heading1"/>
    <w:uiPriority w:val="9"/>
    <w:rsid w:val="00B569DC"/>
    <w:rPr>
      <w:rFonts w:ascii="Calibri" w:eastAsia="MS Gothic" w:hAnsi="Calibri" w:cs="Times New Roman"/>
      <w:b/>
      <w:bCs/>
      <w:kern w:val="32"/>
      <w:sz w:val="32"/>
      <w:szCs w:val="32"/>
    </w:rPr>
  </w:style>
  <w:style w:type="paragraph" w:styleId="Header">
    <w:name w:val="header"/>
    <w:basedOn w:val="Normal"/>
    <w:link w:val="HeaderChar"/>
    <w:uiPriority w:val="99"/>
    <w:unhideWhenUsed/>
    <w:rsid w:val="00486518"/>
    <w:pPr>
      <w:tabs>
        <w:tab w:val="center" w:pos="4680"/>
        <w:tab w:val="right" w:pos="9360"/>
      </w:tabs>
    </w:pPr>
  </w:style>
  <w:style w:type="character" w:customStyle="1" w:styleId="HeaderChar">
    <w:name w:val="Header Char"/>
    <w:basedOn w:val="DefaultParagraphFont"/>
    <w:link w:val="Header"/>
    <w:uiPriority w:val="99"/>
    <w:rsid w:val="00486518"/>
    <w:rPr>
      <w:sz w:val="24"/>
      <w:szCs w:val="24"/>
    </w:rPr>
  </w:style>
  <w:style w:type="paragraph" w:styleId="Footer">
    <w:name w:val="footer"/>
    <w:basedOn w:val="Normal"/>
    <w:link w:val="FooterChar"/>
    <w:uiPriority w:val="99"/>
    <w:unhideWhenUsed/>
    <w:rsid w:val="00486518"/>
    <w:pPr>
      <w:tabs>
        <w:tab w:val="center" w:pos="4680"/>
        <w:tab w:val="right" w:pos="9360"/>
      </w:tabs>
    </w:pPr>
  </w:style>
  <w:style w:type="character" w:customStyle="1" w:styleId="FooterChar">
    <w:name w:val="Footer Char"/>
    <w:basedOn w:val="DefaultParagraphFont"/>
    <w:link w:val="Footer"/>
    <w:uiPriority w:val="99"/>
    <w:rsid w:val="00486518"/>
    <w:rPr>
      <w:sz w:val="24"/>
      <w:szCs w:val="24"/>
    </w:rPr>
  </w:style>
  <w:style w:type="character" w:styleId="Strong">
    <w:name w:val="Strong"/>
    <w:basedOn w:val="DefaultParagraphFont"/>
    <w:uiPriority w:val="22"/>
    <w:qFormat/>
    <w:rsid w:val="00E31115"/>
    <w:rPr>
      <w:b/>
      <w:bCs/>
    </w:rPr>
  </w:style>
  <w:style w:type="paragraph" w:styleId="NormalWeb">
    <w:name w:val="Normal (Web)"/>
    <w:basedOn w:val="Normal"/>
    <w:uiPriority w:val="99"/>
    <w:semiHidden/>
    <w:unhideWhenUsed/>
    <w:rsid w:val="00E77728"/>
    <w:pPr>
      <w:spacing w:before="100" w:beforeAutospacing="1" w:after="100" w:afterAutospacing="1"/>
    </w:pPr>
    <w:rPr>
      <w:rFonts w:ascii="Times New Roman" w:eastAsia="Times New Roman" w:hAnsi="Times New Roman"/>
    </w:rPr>
  </w:style>
  <w:style w:type="character" w:styleId="Hyperlink">
    <w:name w:val="Hyperlink"/>
    <w:basedOn w:val="DefaultParagraphFont"/>
    <w:uiPriority w:val="99"/>
    <w:semiHidden/>
    <w:unhideWhenUsed/>
    <w:rsid w:val="00470A5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175964">
      <w:bodyDiv w:val="1"/>
      <w:marLeft w:val="0"/>
      <w:marRight w:val="0"/>
      <w:marTop w:val="0"/>
      <w:marBottom w:val="0"/>
      <w:divBdr>
        <w:top w:val="none" w:sz="0" w:space="0" w:color="auto"/>
        <w:left w:val="none" w:sz="0" w:space="0" w:color="auto"/>
        <w:bottom w:val="none" w:sz="0" w:space="0" w:color="auto"/>
        <w:right w:val="none" w:sz="0" w:space="0" w:color="auto"/>
      </w:divBdr>
    </w:div>
    <w:div w:id="1855144314">
      <w:bodyDiv w:val="1"/>
      <w:marLeft w:val="0"/>
      <w:marRight w:val="0"/>
      <w:marTop w:val="0"/>
      <w:marBottom w:val="0"/>
      <w:divBdr>
        <w:top w:val="none" w:sz="0" w:space="0" w:color="auto"/>
        <w:left w:val="none" w:sz="0" w:space="0" w:color="auto"/>
        <w:bottom w:val="none" w:sz="0" w:space="0" w:color="auto"/>
        <w:right w:val="none" w:sz="0" w:space="0" w:color="auto"/>
      </w:divBdr>
    </w:div>
    <w:div w:id="1856115847">
      <w:bodyDiv w:val="1"/>
      <w:marLeft w:val="0"/>
      <w:marRight w:val="0"/>
      <w:marTop w:val="0"/>
      <w:marBottom w:val="0"/>
      <w:divBdr>
        <w:top w:val="none" w:sz="0" w:space="0" w:color="auto"/>
        <w:left w:val="none" w:sz="0" w:space="0" w:color="auto"/>
        <w:bottom w:val="none" w:sz="0" w:space="0" w:color="auto"/>
        <w:right w:val="none" w:sz="0" w:space="0" w:color="auto"/>
      </w:divBdr>
      <w:divsChild>
        <w:div w:id="1053506025">
          <w:marLeft w:val="0"/>
          <w:marRight w:val="0"/>
          <w:marTop w:val="0"/>
          <w:marBottom w:val="0"/>
          <w:divBdr>
            <w:top w:val="none" w:sz="0" w:space="0" w:color="auto"/>
            <w:left w:val="none" w:sz="0" w:space="0" w:color="auto"/>
            <w:bottom w:val="none" w:sz="0" w:space="0" w:color="auto"/>
            <w:right w:val="none" w:sz="0" w:space="0" w:color="auto"/>
          </w:divBdr>
        </w:div>
        <w:div w:id="956839052">
          <w:marLeft w:val="0"/>
          <w:marRight w:val="0"/>
          <w:marTop w:val="0"/>
          <w:marBottom w:val="0"/>
          <w:divBdr>
            <w:top w:val="none" w:sz="0" w:space="0" w:color="auto"/>
            <w:left w:val="none" w:sz="0" w:space="0" w:color="auto"/>
            <w:bottom w:val="none" w:sz="0" w:space="0" w:color="auto"/>
            <w:right w:val="none" w:sz="0" w:space="0" w:color="auto"/>
          </w:divBdr>
        </w:div>
        <w:div w:id="1984651783">
          <w:marLeft w:val="0"/>
          <w:marRight w:val="0"/>
          <w:marTop w:val="0"/>
          <w:marBottom w:val="0"/>
          <w:divBdr>
            <w:top w:val="none" w:sz="0" w:space="0" w:color="auto"/>
            <w:left w:val="none" w:sz="0" w:space="0" w:color="auto"/>
            <w:bottom w:val="none" w:sz="0" w:space="0" w:color="auto"/>
            <w:right w:val="none" w:sz="0" w:space="0" w:color="auto"/>
          </w:divBdr>
        </w:div>
        <w:div w:id="1047101015">
          <w:marLeft w:val="0"/>
          <w:marRight w:val="0"/>
          <w:marTop w:val="0"/>
          <w:marBottom w:val="0"/>
          <w:divBdr>
            <w:top w:val="none" w:sz="0" w:space="0" w:color="auto"/>
            <w:left w:val="none" w:sz="0" w:space="0" w:color="auto"/>
            <w:bottom w:val="none" w:sz="0" w:space="0" w:color="auto"/>
            <w:right w:val="none" w:sz="0" w:space="0" w:color="auto"/>
          </w:divBdr>
        </w:div>
        <w:div w:id="1987466115">
          <w:marLeft w:val="0"/>
          <w:marRight w:val="0"/>
          <w:marTop w:val="0"/>
          <w:marBottom w:val="0"/>
          <w:divBdr>
            <w:top w:val="none" w:sz="0" w:space="0" w:color="auto"/>
            <w:left w:val="none" w:sz="0" w:space="0" w:color="auto"/>
            <w:bottom w:val="none" w:sz="0" w:space="0" w:color="auto"/>
            <w:right w:val="none" w:sz="0" w:space="0" w:color="auto"/>
          </w:divBdr>
        </w:div>
        <w:div w:id="1635600212">
          <w:marLeft w:val="0"/>
          <w:marRight w:val="0"/>
          <w:marTop w:val="0"/>
          <w:marBottom w:val="0"/>
          <w:divBdr>
            <w:top w:val="none" w:sz="0" w:space="0" w:color="auto"/>
            <w:left w:val="none" w:sz="0" w:space="0" w:color="auto"/>
            <w:bottom w:val="none" w:sz="0" w:space="0" w:color="auto"/>
            <w:right w:val="none" w:sz="0" w:space="0" w:color="auto"/>
          </w:divBdr>
        </w:div>
        <w:div w:id="298075321">
          <w:marLeft w:val="0"/>
          <w:marRight w:val="0"/>
          <w:marTop w:val="0"/>
          <w:marBottom w:val="0"/>
          <w:divBdr>
            <w:top w:val="none" w:sz="0" w:space="0" w:color="auto"/>
            <w:left w:val="none" w:sz="0" w:space="0" w:color="auto"/>
            <w:bottom w:val="none" w:sz="0" w:space="0" w:color="auto"/>
            <w:right w:val="none" w:sz="0" w:space="0" w:color="auto"/>
          </w:divBdr>
        </w:div>
        <w:div w:id="338315455">
          <w:marLeft w:val="0"/>
          <w:marRight w:val="0"/>
          <w:marTop w:val="0"/>
          <w:marBottom w:val="0"/>
          <w:divBdr>
            <w:top w:val="none" w:sz="0" w:space="0" w:color="auto"/>
            <w:left w:val="none" w:sz="0" w:space="0" w:color="auto"/>
            <w:bottom w:val="none" w:sz="0" w:space="0" w:color="auto"/>
            <w:right w:val="none" w:sz="0" w:space="0" w:color="auto"/>
          </w:divBdr>
        </w:div>
        <w:div w:id="1754207333">
          <w:marLeft w:val="0"/>
          <w:marRight w:val="0"/>
          <w:marTop w:val="0"/>
          <w:marBottom w:val="0"/>
          <w:divBdr>
            <w:top w:val="none" w:sz="0" w:space="0" w:color="auto"/>
            <w:left w:val="none" w:sz="0" w:space="0" w:color="auto"/>
            <w:bottom w:val="none" w:sz="0" w:space="0" w:color="auto"/>
            <w:right w:val="none" w:sz="0" w:space="0" w:color="auto"/>
          </w:divBdr>
        </w:div>
        <w:div w:id="1820222180">
          <w:marLeft w:val="0"/>
          <w:marRight w:val="0"/>
          <w:marTop w:val="0"/>
          <w:marBottom w:val="0"/>
          <w:divBdr>
            <w:top w:val="none" w:sz="0" w:space="0" w:color="auto"/>
            <w:left w:val="none" w:sz="0" w:space="0" w:color="auto"/>
            <w:bottom w:val="none" w:sz="0" w:space="0" w:color="auto"/>
            <w:right w:val="none" w:sz="0" w:space="0" w:color="auto"/>
          </w:divBdr>
        </w:div>
      </w:divsChild>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www.govtrack.us/congress/bills/114/s731"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govtrack.us/congress/bills/114/s2251"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govtrack.us/congress/bills/114/s1940" TargetMode="External"/><Relationship Id="rId4" Type="http://schemas.openxmlformats.org/officeDocument/2006/relationships/webSettings" Target="webSettings.xml"/><Relationship Id="rId9" Type="http://schemas.openxmlformats.org/officeDocument/2006/relationships/hyperlink" Target="https://www.govtrack.us/congress/bills/114/s1904"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BBF624-2A70-4188-B359-945BFD3AF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485</Words>
  <Characters>2768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Mike Hersh and Associates</Company>
  <LinksUpToDate>false</LinksUpToDate>
  <CharactersWithSpaces>3247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Warren</dc:creator>
  <cp:keywords/>
  <dc:description/>
  <cp:lastModifiedBy>Andrea Miller</cp:lastModifiedBy>
  <cp:revision>1</cp:revision>
  <dcterms:created xsi:type="dcterms:W3CDTF">2016-08-15T22:03:00Z</dcterms:created>
  <dcterms:modified xsi:type="dcterms:W3CDTF">2016-08-15T22:05:00Z</dcterms:modified>
</cp:coreProperties>
</file>