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B2C" w:rsidP="00F73BC1" w:rsidRDefault="00935B2C" w14:paraId="6A332485" w14:textId="77777777">
      <w:pPr>
        <w:pStyle w:val="NoSpacing"/>
      </w:pPr>
      <w:r>
        <w:t>Hon. Andrew M. Cuomo</w:t>
      </w:r>
    </w:p>
    <w:p w:rsidR="00935B2C" w:rsidP="00F73BC1" w:rsidRDefault="00935B2C" w14:paraId="470CF6FB" w14:textId="77777777">
      <w:pPr>
        <w:pStyle w:val="NoSpacing"/>
      </w:pPr>
      <w:r>
        <w:t>NYS Capital Building</w:t>
      </w:r>
    </w:p>
    <w:p w:rsidR="00935B2C" w:rsidP="00F73BC1" w:rsidRDefault="00935B2C" w14:paraId="576BD95E" w14:textId="77777777">
      <w:pPr>
        <w:pStyle w:val="NoSpacing"/>
      </w:pPr>
      <w:r>
        <w:t>Albany, NY 12224</w:t>
      </w:r>
    </w:p>
    <w:p w:rsidR="00935B2C" w:rsidP="00F73BC1" w:rsidRDefault="00935B2C" w14:paraId="5F7ED159" w14:textId="77777777">
      <w:pPr>
        <w:pStyle w:val="NoSpacing"/>
      </w:pPr>
    </w:p>
    <w:p w:rsidR="00935B2C" w:rsidP="00F73BC1" w:rsidRDefault="00935B2C" w14:paraId="1F323A3F" w14:textId="77777777">
      <w:pPr>
        <w:pStyle w:val="NoSpacing"/>
      </w:pPr>
      <w:r>
        <w:t>Hon. Andrea Stewart Cousins</w:t>
      </w:r>
    </w:p>
    <w:p w:rsidR="00935B2C" w:rsidP="00F73BC1" w:rsidRDefault="00935B2C" w14:paraId="64F1407A" w14:textId="77777777">
      <w:pPr>
        <w:pStyle w:val="NoSpacing"/>
      </w:pPr>
      <w:r w:rsidRPr="00144598">
        <w:t>188 State Street Room 907</w:t>
      </w:r>
    </w:p>
    <w:p w:rsidRPr="00144598" w:rsidR="00935B2C" w:rsidP="00F73BC1" w:rsidRDefault="00935B2C" w14:paraId="16436E00" w14:textId="77777777">
      <w:pPr>
        <w:pStyle w:val="NoSpacing"/>
      </w:pPr>
      <w:r w:rsidRPr="00144598">
        <w:t>Legislative Office Building</w:t>
      </w:r>
    </w:p>
    <w:p w:rsidR="00935B2C" w:rsidP="00F73BC1" w:rsidRDefault="00935B2C" w14:paraId="33DFBC22" w14:textId="77777777">
      <w:pPr>
        <w:pStyle w:val="NoSpacing"/>
      </w:pPr>
      <w:r>
        <w:t>Albany, NY 12247</w:t>
      </w:r>
      <w:r w:rsidRPr="00144598">
        <w:br/>
      </w:r>
    </w:p>
    <w:p w:rsidR="00935B2C" w:rsidP="00F73BC1" w:rsidRDefault="00935B2C" w14:paraId="29413ECB" w14:textId="77777777">
      <w:pPr>
        <w:pStyle w:val="NoSpacing"/>
      </w:pPr>
      <w:r>
        <w:t>Hon. Speaker Carl Heastie</w:t>
      </w:r>
    </w:p>
    <w:p w:rsidR="00935B2C" w:rsidP="00F73BC1" w:rsidRDefault="00935B2C" w14:paraId="4712AE70" w14:textId="77777777">
      <w:pPr>
        <w:pStyle w:val="NoSpacing"/>
      </w:pPr>
      <w:r>
        <w:t>New York State Assembly</w:t>
      </w:r>
    </w:p>
    <w:p w:rsidR="00935B2C" w:rsidP="00F73BC1" w:rsidRDefault="00935B2C" w14:paraId="32BADD79" w14:textId="77777777">
      <w:pPr>
        <w:pStyle w:val="NoSpacing"/>
      </w:pPr>
      <w:r>
        <w:t>Legislative Office Building, Room 932</w:t>
      </w:r>
    </w:p>
    <w:p w:rsidR="00935B2C" w:rsidP="00F73BC1" w:rsidRDefault="00935B2C" w14:paraId="45CF3C2E" w14:textId="77777777">
      <w:pPr>
        <w:pStyle w:val="NoSpacing"/>
      </w:pPr>
      <w:r>
        <w:t>Albany, NY 12248</w:t>
      </w:r>
    </w:p>
    <w:p w:rsidR="00935B2C" w:rsidP="00F73BC1" w:rsidRDefault="00935B2C" w14:paraId="3D7F477F" w14:textId="77777777">
      <w:pPr>
        <w:spacing w:after="0" w:line="240" w:lineRule="auto"/>
        <w:rPr>
          <w:rFonts w:cstheme="minorHAnsi"/>
        </w:rPr>
      </w:pPr>
    </w:p>
    <w:p w:rsidR="00935B2C" w:rsidP="00F73BC1" w:rsidRDefault="0010271F" w14:paraId="4B1B5887" w14:textId="7C5E413D">
      <w:pPr>
        <w:spacing w:after="0" w:line="240" w:lineRule="auto"/>
        <w:rPr>
          <w:rFonts w:cstheme="minorHAnsi"/>
        </w:rPr>
      </w:pPr>
      <w:r>
        <w:rPr>
          <w:rFonts w:cstheme="minorHAnsi"/>
        </w:rPr>
        <w:t>May 2</w:t>
      </w:r>
      <w:r w:rsidR="00D5264B">
        <w:rPr>
          <w:rFonts w:cstheme="minorHAnsi"/>
        </w:rPr>
        <w:t>8</w:t>
      </w:r>
      <w:r>
        <w:rPr>
          <w:rFonts w:cstheme="minorHAnsi"/>
        </w:rPr>
        <w:t>, 20</w:t>
      </w:r>
      <w:bookmarkStart w:name="_GoBack" w:id="0"/>
      <w:bookmarkEnd w:id="0"/>
      <w:r>
        <w:rPr>
          <w:rFonts w:cstheme="minorHAnsi"/>
        </w:rPr>
        <w:t>19</w:t>
      </w:r>
    </w:p>
    <w:p w:rsidR="00F73BC1" w:rsidP="00F73BC1" w:rsidRDefault="00F73BC1" w14:paraId="20D8C7E7" w14:textId="77777777">
      <w:pPr>
        <w:spacing w:after="0" w:line="240" w:lineRule="auto"/>
        <w:rPr>
          <w:rFonts w:cstheme="minorHAnsi"/>
        </w:rPr>
      </w:pPr>
    </w:p>
    <w:p w:rsidR="001D5B06" w:rsidP="00F73BC1" w:rsidRDefault="001D5B06" w14:paraId="2A07B2FE" w14:textId="3779A5B0">
      <w:pPr>
        <w:spacing w:after="0" w:line="240" w:lineRule="auto"/>
        <w:rPr>
          <w:rFonts w:cstheme="minorHAnsi"/>
        </w:rPr>
      </w:pPr>
      <w:r>
        <w:rPr>
          <w:rFonts w:cstheme="minorHAnsi"/>
        </w:rPr>
        <w:t>Dear Governor Cuomo, Leader Stewart Cousins, and Speaker Heastie,</w:t>
      </w:r>
    </w:p>
    <w:p w:rsidRPr="00E72160" w:rsidR="00F73BC1" w:rsidP="00F73BC1" w:rsidRDefault="00F73BC1" w14:paraId="50D61053" w14:textId="77777777">
      <w:pPr>
        <w:spacing w:after="0" w:line="240" w:lineRule="auto"/>
        <w:rPr>
          <w:rFonts w:cstheme="minorHAnsi"/>
        </w:rPr>
      </w:pPr>
    </w:p>
    <w:p w:rsidR="006010BE" w:rsidP="00F73BC1" w:rsidRDefault="00EA4963" w14:paraId="67033C12" w14:textId="743CF865">
      <w:pPr>
        <w:spacing w:after="0" w:line="240" w:lineRule="auto"/>
        <w:rPr>
          <w:rFonts w:cstheme="minorHAnsi"/>
        </w:rPr>
      </w:pPr>
      <w:r>
        <w:rPr>
          <w:rFonts w:cstheme="minorHAnsi"/>
        </w:rPr>
        <w:t>New York’s f</w:t>
      </w:r>
      <w:r w:rsidRPr="00E72160" w:rsidR="007E373C">
        <w:rPr>
          <w:rFonts w:cstheme="minorHAnsi"/>
        </w:rPr>
        <w:t>elony disenfranchisement law</w:t>
      </w:r>
      <w:r>
        <w:rPr>
          <w:rFonts w:cstheme="minorHAnsi"/>
        </w:rPr>
        <w:t>, like those in the South, was</w:t>
      </w:r>
      <w:r w:rsidRPr="00E72160" w:rsidR="007E373C">
        <w:rPr>
          <w:rFonts w:cstheme="minorHAnsi"/>
        </w:rPr>
        <w:t xml:space="preserve"> </w:t>
      </w:r>
      <w:r>
        <w:rPr>
          <w:rFonts w:cstheme="minorHAnsi"/>
        </w:rPr>
        <w:t xml:space="preserve">enacted </w:t>
      </w:r>
      <w:r w:rsidRPr="00E72160" w:rsidR="007E373C">
        <w:rPr>
          <w:rFonts w:cstheme="minorHAnsi"/>
        </w:rPr>
        <w:t xml:space="preserve">to </w:t>
      </w:r>
      <w:r>
        <w:rPr>
          <w:rFonts w:cstheme="minorHAnsi"/>
        </w:rPr>
        <w:t>exclude</w:t>
      </w:r>
      <w:r w:rsidRPr="00E72160" w:rsidR="007E373C">
        <w:rPr>
          <w:rFonts w:cstheme="minorHAnsi"/>
        </w:rPr>
        <w:t xml:space="preserve"> newly emancipated </w:t>
      </w:r>
      <w:r>
        <w:rPr>
          <w:rFonts w:cstheme="minorHAnsi"/>
        </w:rPr>
        <w:t>Black</w:t>
      </w:r>
      <w:r w:rsidRPr="00E72160">
        <w:rPr>
          <w:rFonts w:cstheme="minorHAnsi"/>
        </w:rPr>
        <w:t xml:space="preserve"> </w:t>
      </w:r>
      <w:r>
        <w:rPr>
          <w:rFonts w:cstheme="minorHAnsi"/>
        </w:rPr>
        <w:t>voters</w:t>
      </w:r>
      <w:r w:rsidRPr="00E72160">
        <w:rPr>
          <w:rFonts w:cstheme="minorHAnsi"/>
        </w:rPr>
        <w:t xml:space="preserve"> </w:t>
      </w:r>
      <w:r>
        <w:rPr>
          <w:rFonts w:cstheme="minorHAnsi"/>
        </w:rPr>
        <w:t xml:space="preserve">from the political process </w:t>
      </w:r>
      <w:r w:rsidRPr="00E72160" w:rsidR="007E373C">
        <w:rPr>
          <w:rFonts w:cstheme="minorHAnsi"/>
        </w:rPr>
        <w:t>to ensure that power remained</w:t>
      </w:r>
      <w:r w:rsidR="0010271F">
        <w:rPr>
          <w:rFonts w:cstheme="minorHAnsi"/>
        </w:rPr>
        <w:t xml:space="preserve"> concentrated</w:t>
      </w:r>
      <w:r w:rsidRPr="00E72160" w:rsidR="007E373C">
        <w:rPr>
          <w:rFonts w:cstheme="minorHAnsi"/>
        </w:rPr>
        <w:t xml:space="preserve"> in the hands of white men. </w:t>
      </w:r>
      <w:hyperlink w:history="1" r:id="rId5">
        <w:r w:rsidRPr="008E6EA0" w:rsidR="00767A14">
          <w:rPr>
            <w:rStyle w:val="Hyperlink"/>
            <w:rFonts w:cstheme="minorHAnsi"/>
          </w:rPr>
          <w:t>Senate Bill 1931</w:t>
        </w:r>
      </w:hyperlink>
      <w:r w:rsidRPr="00E72160" w:rsidR="00767A14">
        <w:rPr>
          <w:rFonts w:cstheme="minorHAnsi"/>
        </w:rPr>
        <w:t>/</w:t>
      </w:r>
      <w:hyperlink w:history="1" r:id="rId6">
        <w:r w:rsidRPr="008E6EA0" w:rsidR="00767A14">
          <w:rPr>
            <w:rStyle w:val="Hyperlink"/>
            <w:rFonts w:cstheme="minorHAnsi"/>
          </w:rPr>
          <w:t>A. 4987</w:t>
        </w:r>
      </w:hyperlink>
      <w:r w:rsidRPr="00E72160" w:rsidR="00767A14">
        <w:rPr>
          <w:rFonts w:cstheme="minorHAnsi"/>
        </w:rPr>
        <w:t>, a</w:t>
      </w:r>
      <w:r w:rsidRPr="00E72160" w:rsidR="00D73678">
        <w:rPr>
          <w:rFonts w:cstheme="minorHAnsi"/>
        </w:rPr>
        <w:t xml:space="preserve"> proposal to restore the right to vote to people on parole</w:t>
      </w:r>
      <w:r w:rsidRPr="00E72160" w:rsidR="00767A14">
        <w:rPr>
          <w:rFonts w:cstheme="minorHAnsi"/>
        </w:rPr>
        <w:t>,</w:t>
      </w:r>
      <w:r w:rsidRPr="00E72160" w:rsidR="00D73678">
        <w:rPr>
          <w:rFonts w:cstheme="minorHAnsi"/>
        </w:rPr>
        <w:t xml:space="preserve"> is a</w:t>
      </w:r>
      <w:r w:rsidRPr="00E72160" w:rsidR="005C5611">
        <w:rPr>
          <w:rFonts w:cstheme="minorHAnsi"/>
        </w:rPr>
        <w:t xml:space="preserve"> modest but </w:t>
      </w:r>
      <w:r w:rsidRPr="00E72160" w:rsidR="00D73678">
        <w:rPr>
          <w:rFonts w:cstheme="minorHAnsi"/>
        </w:rPr>
        <w:t xml:space="preserve">essential step </w:t>
      </w:r>
      <w:r w:rsidRPr="00E72160" w:rsidR="005C5611">
        <w:rPr>
          <w:rFonts w:cstheme="minorHAnsi"/>
        </w:rPr>
        <w:t>towards</w:t>
      </w:r>
      <w:r w:rsidRPr="00E72160" w:rsidR="00396661">
        <w:rPr>
          <w:rFonts w:cstheme="minorHAnsi"/>
        </w:rPr>
        <w:t xml:space="preserve"> reversing </w:t>
      </w:r>
      <w:r w:rsidRPr="00E72160" w:rsidR="007E373C">
        <w:rPr>
          <w:rFonts w:cstheme="minorHAnsi"/>
        </w:rPr>
        <w:t>th</w:t>
      </w:r>
      <w:r w:rsidR="009B61BC">
        <w:rPr>
          <w:rFonts w:cstheme="minorHAnsi"/>
        </w:rPr>
        <w:t>is</w:t>
      </w:r>
      <w:r w:rsidRPr="00E72160" w:rsidR="007E373C">
        <w:rPr>
          <w:rFonts w:cstheme="minorHAnsi"/>
        </w:rPr>
        <w:t xml:space="preserve"> </w:t>
      </w:r>
      <w:r w:rsidRPr="00E72160" w:rsidR="00396661">
        <w:rPr>
          <w:rFonts w:cstheme="minorHAnsi"/>
        </w:rPr>
        <w:t xml:space="preserve">overtly racist law </w:t>
      </w:r>
      <w:r w:rsidRPr="00E72160" w:rsidR="00CE50BA">
        <w:rPr>
          <w:rFonts w:cstheme="minorHAnsi"/>
        </w:rPr>
        <w:t>codified in the era of Jim Crow</w:t>
      </w:r>
      <w:r w:rsidRPr="00E72160" w:rsidR="00D73678">
        <w:rPr>
          <w:rFonts w:cstheme="minorHAnsi"/>
        </w:rPr>
        <w:t>.</w:t>
      </w:r>
      <w:r w:rsidR="00C3013D">
        <w:rPr>
          <w:rFonts w:cstheme="minorHAnsi"/>
        </w:rPr>
        <w:t xml:space="preserve"> </w:t>
      </w:r>
    </w:p>
    <w:p w:rsidRPr="006010BE" w:rsidR="00F73BC1" w:rsidP="00F73BC1" w:rsidRDefault="00F73BC1" w14:paraId="29F20AB8" w14:textId="77777777">
      <w:pPr>
        <w:spacing w:after="0" w:line="240" w:lineRule="auto"/>
        <w:rPr>
          <w:rFonts w:cstheme="minorHAnsi"/>
        </w:rPr>
      </w:pPr>
    </w:p>
    <w:p w:rsidRPr="00877449" w:rsidR="00E72160" w:rsidP="4117AD3A" w:rsidRDefault="007C0B7E" w14:paraId="49A544EF" w14:textId="6C828551">
      <w:pPr>
        <w:spacing w:after="0" w:line="240" w:lineRule="auto"/>
        <w:rPr>
          <w:rFonts w:cs="Calibri" w:cstheme="minorAscii"/>
        </w:rPr>
      </w:pPr>
      <w:r w:rsidRPr="4117AD3A">
        <w:rPr>
          <w:rStyle w:val="Hyperlink"/>
          <w:rFonts w:cs="Calibri" w:cstheme="minorAscii"/>
          <w:highlight w:val="yellow"/>
        </w:rPr>
        <w:t>In 1874, t</w:t>
      </w:r>
      <w:r w:rsidRPr="4117AD3A" w:rsidR="009624EE">
        <w:rPr>
          <w:rStyle w:val="Hyperlink"/>
          <w:rFonts w:cs="Calibri" w:cstheme="minorAscii"/>
          <w:highlight w:val="yellow"/>
        </w:rPr>
        <w:t xml:space="preserve">he </w:t>
      </w:r>
      <w:hyperlink w:history="1" r:id="Re42c4496947b4bb2">
        <w:r w:rsidRPr="4117AD3A" w:rsidR="009631B8">
          <w:rPr>
            <w:rStyle w:val="Hyperlink"/>
            <w:rFonts w:cs="Calibri" w:cstheme="minorAscii"/>
            <w:highlight w:val="yellow"/>
          </w:rPr>
          <w:t>New York</w:t>
        </w:r>
      </w:hyperlink>
      <w:r w:rsidRPr="4117AD3A" w:rsidR="009631B8">
        <w:rPr>
          <w:rStyle w:val="Hyperlink"/>
          <w:rFonts w:cs="Calibri" w:cstheme="minorAscii"/>
          <w:highlight w:val="yellow"/>
        </w:rPr>
        <w:t xml:space="preserve"> </w:t>
      </w:r>
      <w:r w:rsidRPr="4117AD3A" w:rsidR="009624EE">
        <w:rPr>
          <w:rStyle w:val="Hyperlink"/>
          <w:rFonts w:cs="Calibri" w:cstheme="minorAscii"/>
          <w:highlight w:val="yellow"/>
        </w:rPr>
        <w:t xml:space="preserve">legislature </w:t>
      </w:r>
      <w:r w:rsidRPr="4117AD3A" w:rsidR="009631B8">
        <w:rPr>
          <w:rStyle w:val="Hyperlink"/>
          <w:rFonts w:cs="Calibri" w:cstheme="minorAscii"/>
          <w:highlight w:val="yellow"/>
        </w:rPr>
        <w:t>sought to evade the mandate of the Fifteenth</w:t>
      </w:r>
      <w:r w:rsidRPr="4117AD3A" w:rsidR="008E4D2C">
        <w:rPr>
          <w:rFonts w:cs="Calibri" w:cstheme="minorAscii"/>
          <w:highlight w:val="yellow"/>
        </w:rPr>
        <w:t xml:space="preserve"> Amendment</w:t>
      </w:r>
      <w:r w:rsidRPr="4117AD3A" w:rsidR="008E4D2C">
        <w:rPr>
          <w:rFonts w:cs="Calibri" w:cstheme="minorAscii"/>
          <w:highlight w:val="yellow"/>
        </w:rPr>
        <w:t xml:space="preserve">, which </w:t>
      </w:r>
      <w:r w:rsidRPr="4117AD3A" w:rsidR="008E4D2C">
        <w:rPr>
          <w:rFonts w:cs="Calibri" w:cstheme="minorAscii"/>
          <w:highlight w:val="yellow"/>
        </w:rPr>
        <w:t xml:space="preserve">gave </w:t>
      </w:r>
      <w:r w:rsidRPr="4117AD3A" w:rsidR="009631B8">
        <w:rPr>
          <w:rFonts w:cs="Calibri" w:cstheme="minorAscii"/>
          <w:highlight w:val="yellow"/>
        </w:rPr>
        <w:t>B</w:t>
      </w:r>
      <w:r w:rsidRPr="4117AD3A" w:rsidR="00E72160">
        <w:rPr>
          <w:rFonts w:cs="Calibri" w:cstheme="minorAscii"/>
          <w:highlight w:val="yellow"/>
        </w:rPr>
        <w:t>lack men the</w:t>
      </w:r>
      <w:r w:rsidRPr="4117AD3A" w:rsidR="008E4D2C">
        <w:rPr>
          <w:rFonts w:cs="Calibri" w:cstheme="minorAscii"/>
          <w:highlight w:val="yellow"/>
        </w:rPr>
        <w:t xml:space="preserve"> right to vot</w:t>
      </w:r>
      <w:r w:rsidRPr="4117AD3A" w:rsidR="00E72160">
        <w:rPr>
          <w:rFonts w:cs="Calibri" w:cstheme="minorAscii"/>
          <w:highlight w:val="yellow"/>
        </w:rPr>
        <w:t>e</w:t>
      </w:r>
      <w:r w:rsidRPr="4117AD3A" w:rsidR="00E72160">
        <w:rPr>
          <w:rFonts w:cs="Calibri" w:cstheme="minorAscii"/>
          <w:highlight w:val="yellow"/>
        </w:rPr>
        <w:t>. The</w:t>
      </w:r>
      <w:r w:rsidRPr="4117AD3A" w:rsidR="009631B8">
        <w:rPr>
          <w:rFonts w:cs="Calibri" w:cstheme="minorAscii"/>
          <w:highlight w:val="yellow"/>
        </w:rPr>
        <w:t xml:space="preserve">y </w:t>
      </w:r>
      <w:r w:rsidRPr="4117AD3A" w:rsidR="009631B8">
        <w:rPr>
          <w:rFonts w:cs="Calibri" w:cstheme="minorAscii"/>
          <w:highlight w:val="yellow"/>
        </w:rPr>
        <w:t>opened up our state’s</w:t>
      </w:r>
      <w:r w:rsidRPr="4117AD3A" w:rsidR="009631B8">
        <w:rPr>
          <w:rFonts w:cs="Calibri" w:cstheme="minorAscii"/>
          <w:highlight w:val="yellow"/>
        </w:rPr>
        <w:t xml:space="preserve"> Constitution </w:t>
      </w:r>
      <w:r w:rsidRPr="4117AD3A" w:rsidR="009631B8">
        <w:rPr>
          <w:rFonts w:cs="Calibri" w:cstheme="minorAscii"/>
          <w:highlight w:val="yellow"/>
        </w:rPr>
        <w:t>in order t</w:t>
      </w:r>
      <w:r w:rsidRPr="4117AD3A" w:rsidR="009631B8">
        <w:rPr>
          <w:rFonts w:cs="Calibri" w:cstheme="minorAscii"/>
          <w:highlight w:val="yellow"/>
        </w:rPr>
        <w:t>o requir</w:t>
      </w:r>
      <w:r w:rsidRPr="4117AD3A" w:rsidR="009631B8">
        <w:rPr>
          <w:rFonts w:cs="Calibri" w:cstheme="minorAscii"/>
          <w:highlight w:val="yellow"/>
        </w:rPr>
        <w:t>e</w:t>
      </w:r>
      <w:r w:rsidRPr="4117AD3A" w:rsidR="009631B8">
        <w:rPr>
          <w:rFonts w:cs="Calibri" w:cstheme="minorAscii"/>
          <w:highlight w:val="yellow"/>
        </w:rPr>
        <w:t xml:space="preserve"> th</w:t>
      </w:r>
      <w:r w:rsidRPr="4117AD3A" w:rsidR="009631B8">
        <w:rPr>
          <w:rFonts w:cs="Calibri" w:cstheme="minorAscii"/>
          <w:highlight w:val="yellow"/>
        </w:rPr>
        <w:t>at</w:t>
      </w:r>
      <w:r w:rsidRPr="4117AD3A" w:rsidR="009631B8">
        <w:rPr>
          <w:rFonts w:cs="Calibri" w:cstheme="minorAscii"/>
          <w:highlight w:val="yellow"/>
        </w:rPr>
        <w:t xml:space="preserve"> anyone convicted of “infamous crimes</w:t>
      </w:r>
      <w:r w:rsidRPr="4117AD3A" w:rsidR="009631B8">
        <w:rPr>
          <w:rFonts w:cs="Calibri" w:cstheme="minorAscii"/>
          <w:highlight w:val="yellow"/>
        </w:rPr>
        <w:t>”</w:t>
      </w:r>
      <w:r w:rsidRPr="4117AD3A" w:rsidR="009631B8">
        <w:rPr>
          <w:rFonts w:cs="Calibri" w:cstheme="minorAscii"/>
          <w:highlight w:val="yellow"/>
        </w:rPr>
        <w:t xml:space="preserve"> be disenfranchised. They left no question as to whom they expected to be convicted of said crimes.</w:t>
      </w:r>
      <w:r w:rsidRPr="4117AD3A" w:rsidR="009631B8">
        <w:rPr>
          <w:rFonts w:cs="Calibri" w:cstheme="minorAscii"/>
        </w:rPr>
        <w:t xml:space="preserve"> </w:t>
      </w:r>
      <w:r w:rsidRPr="4117AD3A" w:rsidR="009624EE">
        <w:rPr>
          <w:rFonts w:cs="Calibri" w:cstheme="minorAscii"/>
        </w:rPr>
        <w:t>New York’s</w:t>
      </w:r>
      <w:r w:rsidRPr="4117AD3A" w:rsidR="000D043B">
        <w:rPr>
          <w:rFonts w:cs="Calibri" w:cstheme="minorAscii"/>
        </w:rPr>
        <w:t xml:space="preserve"> </w:t>
      </w:r>
      <w:r w:rsidRPr="4117AD3A" w:rsidR="00877449">
        <w:rPr>
          <w:rFonts w:cs="Calibri" w:cstheme="minorAscii"/>
        </w:rPr>
        <w:t xml:space="preserve">current </w:t>
      </w:r>
      <w:r w:rsidRPr="4117AD3A" w:rsidR="00115BEB">
        <w:rPr>
          <w:rFonts w:cs="Calibri" w:cstheme="minorAscii"/>
        </w:rPr>
        <w:t xml:space="preserve">law is nearly identical to </w:t>
      </w:r>
      <w:r w:rsidRPr="4117AD3A" w:rsidR="000D043B">
        <w:rPr>
          <w:rFonts w:cs="Calibri" w:cstheme="minorAscii"/>
        </w:rPr>
        <w:t>the provision</w:t>
      </w:r>
      <w:r w:rsidRPr="4117AD3A" w:rsidR="00877449">
        <w:rPr>
          <w:rFonts w:cs="Calibri" w:cstheme="minorAscii"/>
        </w:rPr>
        <w:t xml:space="preserve"> adopted over 140 years ago</w:t>
      </w:r>
      <w:r w:rsidRPr="4117AD3A" w:rsidR="009624EE">
        <w:rPr>
          <w:rFonts w:cs="Calibri" w:cstheme="minorAscii"/>
        </w:rPr>
        <w:t xml:space="preserve">, </w:t>
      </w:r>
      <w:r w:rsidRPr="4117AD3A" w:rsidR="000D043B">
        <w:rPr>
          <w:rFonts w:cs="Calibri" w:cstheme="minorAscii"/>
        </w:rPr>
        <w:t>and the disparate impact should come as no surprise</w:t>
      </w:r>
      <w:r w:rsidRPr="4117AD3A" w:rsidR="00877449">
        <w:rPr>
          <w:rFonts w:cs="Calibri" w:cstheme="minorAscii"/>
        </w:rPr>
        <w:t xml:space="preserve"> given the history of the provision</w:t>
      </w:r>
      <w:r w:rsidRPr="4117AD3A" w:rsidR="000D043B">
        <w:rPr>
          <w:rFonts w:cs="Calibri" w:cstheme="minorAscii"/>
        </w:rPr>
        <w:t xml:space="preserve">: </w:t>
      </w:r>
      <w:r w:rsidRPr="4117AD3A" w:rsidR="000D043B">
        <w:rPr>
          <w:rFonts w:cs="Calibri" w:cstheme="minorAscii"/>
        </w:rPr>
        <w:t>nearly three-quarters of everyone on parole is Black or Latin</w:t>
      </w:r>
      <w:r w:rsidRPr="4117AD3A" w:rsidR="000D043B">
        <w:rPr>
          <w:rFonts w:cs="Calibri" w:cstheme="minorAscii"/>
        </w:rPr>
        <w:t>x</w:t>
      </w:r>
      <w:r w:rsidRPr="4117AD3A" w:rsidR="00E72160">
        <w:rPr>
          <w:rFonts w:cs="Calibri" w:cstheme="minorAscii"/>
        </w:rPr>
        <w:t xml:space="preserve">. </w:t>
      </w:r>
      <w:r w:rsidRPr="4117AD3A" w:rsidR="00E72160">
        <w:rPr>
          <w:rFonts w:cs="Calibri" w:cstheme="minorAscii"/>
          <w:highlight w:val="yellow"/>
        </w:rPr>
        <w:t xml:space="preserve"> </w:t>
      </w:r>
      <w:r w:rsidRPr="4117AD3A" w:rsidR="009B61BC">
        <w:rPr>
          <w:rFonts w:cs="Calibri" w:cstheme="minorAscii"/>
        </w:rPr>
        <w:t>T</w:t>
      </w:r>
      <w:r w:rsidRPr="4117AD3A" w:rsidR="00E72160">
        <w:rPr>
          <w:rFonts w:cs="Calibri" w:cstheme="minorAscii"/>
        </w:rPr>
        <w:t xml:space="preserve">oday more than 108,000 New Yorkers have lost the right to vote. </w:t>
      </w:r>
      <w:r w:rsidRPr="4117AD3A" w:rsidR="00E72160">
        <w:rPr>
          <w:rFonts w:cs="Calibri" w:cstheme="minorAscii"/>
          <w:color w:val="000000"/>
          <w:shd w:val="clear" w:color="auto" w:fill="FFFFFF"/>
        </w:rPr>
        <w:t xml:space="preserve">Almost half of these disenfranchised citizens have completed their prison sentence and are tax paying citizens living and working in our </w:t>
      </w:r>
      <w:proofErr w:type="gramStart"/>
      <w:r w:rsidRPr="4117AD3A" w:rsidR="00E72160">
        <w:rPr>
          <w:rFonts w:cs="Calibri" w:cstheme="minorAscii"/>
          <w:color w:val="000000"/>
          <w:shd w:val="clear" w:color="auto" w:fill="FFFFFF"/>
        </w:rPr>
        <w:t>communities..</w:t>
      </w:r>
      <w:proofErr w:type="gramEnd"/>
    </w:p>
    <w:p w:rsidR="00F73BC1" w:rsidP="00F73BC1" w:rsidRDefault="00F73BC1" w14:paraId="0AFA52E9" w14:textId="77777777">
      <w:pPr>
        <w:spacing w:after="0" w:line="240" w:lineRule="auto"/>
        <w:rPr>
          <w:rFonts w:cstheme="minorHAnsi"/>
          <w:color w:val="000000"/>
          <w:shd w:val="clear" w:color="auto" w:fill="FFFFFF"/>
        </w:rPr>
      </w:pPr>
    </w:p>
    <w:p w:rsidR="00821C08" w:rsidP="4117AD3A" w:rsidRDefault="00AC51C6" w14:paraId="5D395063" w14:textId="00C1CC8E">
      <w:pPr>
        <w:spacing w:after="0" w:line="240" w:lineRule="auto"/>
        <w:rPr>
          <w:rFonts w:cs="Calibri" w:cstheme="minorAscii"/>
        </w:rPr>
      </w:pPr>
      <w:r w:rsidRPr="4117AD3A" w:rsidR="4117AD3A">
        <w:rPr>
          <w:rFonts w:cs="Calibri" w:cstheme="minorAscii"/>
        </w:rPr>
        <w:t xml:space="preserve">New York is one of </w:t>
      </w:r>
      <w:r w:rsidRPr="4117AD3A" w:rsidR="4117AD3A">
        <w:rPr>
          <w:rFonts w:cs="Calibri" w:cstheme="minorAscii"/>
          <w:highlight w:val="yellow"/>
        </w:rPr>
        <w:t>just three</w:t>
      </w:r>
      <w:r w:rsidRPr="4117AD3A" w:rsidR="4117AD3A">
        <w:rPr>
          <w:rFonts w:cs="Calibri" w:cstheme="minorAscii"/>
          <w:highlight w:val="yellow"/>
        </w:rPr>
        <w:t xml:space="preserve"> states</w:t>
      </w:r>
      <w:r w:rsidRPr="4117AD3A" w:rsidR="4117AD3A">
        <w:rPr>
          <w:rFonts w:cs="Calibri" w:cstheme="minorAscii"/>
        </w:rPr>
        <w:t xml:space="preserve"> that statutorily denies the right to vote to people on parole but allows people on probation to vote. Such a policy is out of step with 14 states and the District of Columbia that automatically restore voting rights to everyone living in the community. In July, </w:t>
      </w:r>
      <w:hyperlink r:id="R4574213751e14487">
        <w:r w:rsidRPr="4117AD3A" w:rsidR="4117AD3A">
          <w:rPr>
            <w:rStyle w:val="Hyperlink"/>
            <w:rFonts w:cs="Calibri" w:cstheme="minorAscii"/>
          </w:rPr>
          <w:t>Colorado</w:t>
        </w:r>
      </w:hyperlink>
      <w:r w:rsidRPr="4117AD3A" w:rsidR="4117AD3A">
        <w:rPr>
          <w:rFonts w:cs="Calibri" w:cstheme="minorAscii"/>
        </w:rPr>
        <w:t xml:space="preserve"> and </w:t>
      </w:r>
      <w:hyperlink r:id="Rfdb9c8aea9ae424c">
        <w:r w:rsidRPr="4117AD3A" w:rsidR="4117AD3A">
          <w:rPr>
            <w:rStyle w:val="Hyperlink"/>
            <w:rFonts w:cs="Calibri" w:cstheme="minorAscii"/>
          </w:rPr>
          <w:t>Nevada</w:t>
        </w:r>
      </w:hyperlink>
      <w:r w:rsidRPr="4117AD3A" w:rsidR="4117AD3A">
        <w:rPr>
          <w:rFonts w:cs="Calibri" w:cstheme="minorAscii"/>
        </w:rPr>
        <w:t xml:space="preserve"> will join them. </w:t>
      </w:r>
    </w:p>
    <w:p w:rsidRPr="006010BE" w:rsidR="00F73BC1" w:rsidP="00F73BC1" w:rsidRDefault="00F73BC1" w14:paraId="2944EF28" w14:textId="77777777">
      <w:pPr>
        <w:spacing w:after="0" w:line="240" w:lineRule="auto"/>
        <w:rPr>
          <w:rFonts w:cstheme="minorHAnsi"/>
        </w:rPr>
      </w:pPr>
    </w:p>
    <w:p w:rsidR="00CE50BA" w:rsidP="00F73BC1" w:rsidRDefault="00D0278B" w14:paraId="47B20266" w14:textId="2B51D4F5">
      <w:pPr>
        <w:pStyle w:val="xmsonormal"/>
        <w:rPr>
          <w:rFonts w:cstheme="minorHAnsi"/>
        </w:rPr>
      </w:pPr>
      <w:r w:rsidRPr="00E72160">
        <w:rPr>
          <w:rFonts w:cstheme="minorHAnsi"/>
        </w:rPr>
        <w:t>F</w:t>
      </w:r>
      <w:r w:rsidRPr="00E72160" w:rsidR="00767A14">
        <w:rPr>
          <w:rFonts w:cstheme="minorHAnsi"/>
        </w:rPr>
        <w:t xml:space="preserve">ear mongering tactics </w:t>
      </w:r>
      <w:r w:rsidRPr="00E72160" w:rsidR="005C5611">
        <w:rPr>
          <w:rFonts w:cstheme="minorHAnsi"/>
        </w:rPr>
        <w:t>are often</w:t>
      </w:r>
      <w:r w:rsidRPr="00E72160" w:rsidR="00767A14">
        <w:rPr>
          <w:rFonts w:cstheme="minorHAnsi"/>
        </w:rPr>
        <w:t xml:space="preserve"> deployed to </w:t>
      </w:r>
      <w:r w:rsidRPr="00E72160" w:rsidR="005C5611">
        <w:rPr>
          <w:rFonts w:cstheme="minorHAnsi"/>
        </w:rPr>
        <w:t>make the case that</w:t>
      </w:r>
      <w:r w:rsidRPr="00E72160" w:rsidR="00767A14">
        <w:rPr>
          <w:rFonts w:cstheme="minorHAnsi"/>
        </w:rPr>
        <w:t xml:space="preserve"> </w:t>
      </w:r>
      <w:r w:rsidRPr="00E72160">
        <w:rPr>
          <w:rFonts w:cstheme="minorHAnsi"/>
        </w:rPr>
        <w:t xml:space="preserve">even </w:t>
      </w:r>
      <w:r w:rsidRPr="00E72160" w:rsidR="00767A14">
        <w:rPr>
          <w:rFonts w:cstheme="minorHAnsi"/>
        </w:rPr>
        <w:t xml:space="preserve">those who have completed their sentences ought to be shut out of our democracy. This flies in the face of </w:t>
      </w:r>
      <w:r w:rsidRPr="00E72160" w:rsidR="00886F73">
        <w:rPr>
          <w:rFonts w:cstheme="minorHAnsi"/>
        </w:rPr>
        <w:t xml:space="preserve">the </w:t>
      </w:r>
      <w:r w:rsidRPr="00E72160" w:rsidR="00767A14">
        <w:rPr>
          <w:rFonts w:cstheme="minorHAnsi"/>
        </w:rPr>
        <w:t xml:space="preserve">origins of the penal system, which sought to rehabilitate individuals so they could </w:t>
      </w:r>
      <w:r w:rsidR="006010BE">
        <w:rPr>
          <w:rFonts w:cstheme="minorHAnsi"/>
        </w:rPr>
        <w:t xml:space="preserve">eventually </w:t>
      </w:r>
      <w:r w:rsidRPr="00E72160" w:rsidR="00767A14">
        <w:rPr>
          <w:rFonts w:cstheme="minorHAnsi"/>
        </w:rPr>
        <w:t xml:space="preserve">rejoin society. </w:t>
      </w:r>
      <w:r w:rsidR="00EF7F1D">
        <w:t>In fact, law enforcement professionals are a part of the wide base of support for voting rights</w:t>
      </w:r>
      <w:r w:rsidR="006010BE">
        <w:t xml:space="preserve"> restoration</w:t>
      </w:r>
      <w:r w:rsidR="00EF7F1D">
        <w:t xml:space="preserve">. In a </w:t>
      </w:r>
      <w:hyperlink w:history="1" r:id="rId10">
        <w:r w:rsidRPr="00667DEF" w:rsidR="00EF7F1D">
          <w:rPr>
            <w:rStyle w:val="Hyperlink"/>
          </w:rPr>
          <w:t>letter</w:t>
        </w:r>
      </w:hyperlink>
      <w:r w:rsidR="00EF7F1D">
        <w:t xml:space="preserve"> submitted to the Maryland Senate, Carl </w:t>
      </w:r>
      <w:proofErr w:type="spellStart"/>
      <w:r w:rsidR="00EF7F1D">
        <w:t>Wicklund</w:t>
      </w:r>
      <w:proofErr w:type="spellEnd"/>
      <w:r w:rsidR="00EF7F1D">
        <w:t>, Executive Director of the American Probation and Parole Association, wrote that “there is no credible evidence showing that continuing to disenfranchise people who have rejoined the community serves any legitimate law enforcement purpose.”</w:t>
      </w:r>
      <w:r w:rsidR="00115BEB">
        <w:t xml:space="preserve"> </w:t>
      </w:r>
      <w:r w:rsidRPr="00E72160" w:rsidR="00767A14">
        <w:rPr>
          <w:rFonts w:cstheme="minorHAnsi"/>
        </w:rPr>
        <w:t>But perhaps most dangerously, these</w:t>
      </w:r>
      <w:r w:rsidR="00EF7F1D">
        <w:rPr>
          <w:rFonts w:cstheme="minorHAnsi"/>
        </w:rPr>
        <w:t xml:space="preserve"> fear mongering</w:t>
      </w:r>
      <w:r w:rsidRPr="00E72160" w:rsidR="00767A14">
        <w:rPr>
          <w:rFonts w:cstheme="minorHAnsi"/>
        </w:rPr>
        <w:t xml:space="preserve"> attitudes whitewash the intent behind these laws which had nothing to do with punishment and everything to do with racial and social control. </w:t>
      </w:r>
    </w:p>
    <w:p w:rsidR="008E4845" w:rsidP="009B61BC" w:rsidRDefault="009B61BC" w14:paraId="7ACD1B0A" w14:textId="2C159900">
      <w:pPr>
        <w:pStyle w:val="xmsonormal"/>
      </w:pPr>
      <w:r>
        <w:t>We are confident t</w:t>
      </w:r>
      <w:r w:rsidRPr="00E72160" w:rsidR="00767A14">
        <w:t xml:space="preserve">hese </w:t>
      </w:r>
      <w:r w:rsidRPr="00E72160" w:rsidR="00D0278B">
        <w:t xml:space="preserve">false </w:t>
      </w:r>
      <w:r w:rsidRPr="00E72160" w:rsidR="00767A14">
        <w:t>arguments cannot win</w:t>
      </w:r>
      <w:r w:rsidR="000E2AAA">
        <w:t xml:space="preserve"> in </w:t>
      </w:r>
      <w:r w:rsidR="008E4845">
        <w:t>our state</w:t>
      </w:r>
      <w:r w:rsidRPr="00E72160" w:rsidR="00767A14">
        <w:t xml:space="preserve">. </w:t>
      </w:r>
    </w:p>
    <w:p w:rsidR="008E4845" w:rsidP="00F73BC1" w:rsidRDefault="008E4845" w14:paraId="1155CFBC" w14:textId="77777777">
      <w:pPr>
        <w:spacing w:after="0" w:line="240" w:lineRule="auto"/>
        <w:rPr>
          <w:rFonts w:cstheme="minorHAnsi"/>
        </w:rPr>
      </w:pPr>
    </w:p>
    <w:p w:rsidR="00CE50BA" w:rsidP="4117AD3A" w:rsidRDefault="00D0278B" w14:paraId="6A544A8E" w14:textId="1B8444DE">
      <w:pPr>
        <w:spacing w:after="0" w:line="240" w:lineRule="auto"/>
        <w:rPr>
          <w:rFonts w:cs="Calibri" w:cstheme="minorAscii"/>
        </w:rPr>
      </w:pPr>
      <w:r w:rsidRPr="4117AD3A" w:rsidR="4117AD3A">
        <w:rPr>
          <w:rFonts w:cs="Calibri" w:cstheme="minorAscii"/>
        </w:rPr>
        <w:t xml:space="preserve">This proposal, introduced by Senator Leroy Comrie and </w:t>
      </w:r>
      <w:proofErr w:type="spellStart"/>
      <w:r w:rsidRPr="4117AD3A" w:rsidR="4117AD3A">
        <w:rPr>
          <w:rFonts w:cs="Calibri" w:cstheme="minorAscii"/>
        </w:rPr>
        <w:t>Assemblymember</w:t>
      </w:r>
      <w:proofErr w:type="spellEnd"/>
      <w:r w:rsidRPr="4117AD3A" w:rsidR="4117AD3A">
        <w:rPr>
          <w:rFonts w:cs="Calibri" w:cstheme="minorAscii"/>
        </w:rPr>
        <w:t xml:space="preserve"> Daniel O’Donnell, seeks to codify Governor Cuomo’s </w:t>
      </w:r>
      <w:hyperlink r:id="Ra231df487e794fcc">
        <w:r w:rsidRPr="4117AD3A" w:rsidR="4117AD3A">
          <w:rPr>
            <w:rStyle w:val="Hyperlink"/>
            <w:rFonts w:cs="Calibri" w:cstheme="minorAscii"/>
          </w:rPr>
          <w:t>Executive Order 181</w:t>
        </w:r>
      </w:hyperlink>
      <w:r w:rsidRPr="4117AD3A" w:rsidR="4117AD3A">
        <w:rPr>
          <w:rFonts w:cs="Calibri" w:cstheme="minorAscii"/>
        </w:rPr>
        <w:t xml:space="preserve"> and make existing policy into law. The current system requires a case-by-case review from the Governor’s office, despite the fact that returning citizens have already been through an extensive review process by the Parole Board.  This creates a burden on the Executive Branch and causes delays in re</w:t>
      </w:r>
      <w:r w:rsidRPr="4117AD3A" w:rsidR="4117AD3A">
        <w:rPr>
          <w:rFonts w:cs="Calibri" w:cstheme="minorAscii"/>
        </w:rPr>
        <w:t>-</w:t>
      </w:r>
      <w:r w:rsidRPr="4117AD3A" w:rsidR="4117AD3A">
        <w:rPr>
          <w:rFonts w:cs="Calibri" w:cstheme="minorAscii"/>
        </w:rPr>
        <w:t>enfranchisement, due to the laboriousness of the process. Bill</w:t>
      </w:r>
      <w:r w:rsidRPr="4117AD3A" w:rsidR="4117AD3A">
        <w:rPr>
          <w:rFonts w:cs="Calibri" w:cstheme="minorAscii"/>
        </w:rPr>
        <w:t>s</w:t>
      </w:r>
      <w:r w:rsidRPr="4117AD3A" w:rsidR="4117AD3A">
        <w:rPr>
          <w:rFonts w:cs="Calibri" w:cstheme="minorAscii"/>
        </w:rPr>
        <w:t xml:space="preserve"> </w:t>
      </w:r>
      <w:r w:rsidRPr="4117AD3A" w:rsidR="4117AD3A">
        <w:rPr>
          <w:rFonts w:cs="Calibri" w:cstheme="minorAscii"/>
        </w:rPr>
        <w:t xml:space="preserve">S. </w:t>
      </w:r>
      <w:r w:rsidRPr="4117AD3A" w:rsidR="4117AD3A">
        <w:rPr>
          <w:rFonts w:cs="Calibri" w:cstheme="minorAscii"/>
        </w:rPr>
        <w:t xml:space="preserve">1931/A. 4987 will provide much needed infrastructure to the current system, including education and training for attorneys, correctional officers, parole officers, and judges. It will create a sustainable system, saving taxpayer dollars and ensuring that individuals are able to register in a timely manner. </w:t>
      </w:r>
    </w:p>
    <w:p w:rsidRPr="00E72160" w:rsidR="00F73BC1" w:rsidP="00F73BC1" w:rsidRDefault="00F73BC1" w14:paraId="58E9B4F1" w14:textId="77777777">
      <w:pPr>
        <w:spacing w:after="0" w:line="240" w:lineRule="auto"/>
        <w:rPr>
          <w:rFonts w:cstheme="minorHAnsi"/>
        </w:rPr>
      </w:pPr>
    </w:p>
    <w:p w:rsidRPr="00C3013D" w:rsidR="00EF7F1D" w:rsidP="4117AD3A" w:rsidRDefault="00D0278B" w14:paraId="209112A2" w14:textId="61B49464">
      <w:pPr>
        <w:pStyle w:val="xmsonormal"/>
        <w:rPr>
          <w:b w:val="1"/>
          <w:bCs w:val="1"/>
        </w:rPr>
      </w:pPr>
      <w:r w:rsidRPr="4117AD3A" w:rsidR="4117AD3A">
        <w:rPr>
          <w:rFonts w:cs="Calibri" w:cstheme="minorAscii"/>
        </w:rPr>
        <w:t xml:space="preserve">Reenfranchisement for people on parole is also a powerful gesture to returning citizens, many of whom have spent decades in prison and paid the ultimate price for their actions. It sends a signal that they are being accepted back into society and have a voice that matters, which has everything to do with their chances of successfully reintegrating and contributing to their communities. As Nassau County District Attorney Madeline Singas </w:t>
      </w:r>
      <w:hyperlink r:id="R861f606911eb45eb">
        <w:r w:rsidRPr="4117AD3A" w:rsidR="4117AD3A">
          <w:rPr>
            <w:rStyle w:val="Hyperlink"/>
            <w:rFonts w:cs="Calibri" w:cstheme="minorAscii"/>
          </w:rPr>
          <w:t>wrote in a letter</w:t>
        </w:r>
      </w:hyperlink>
      <w:r w:rsidRPr="4117AD3A" w:rsidR="4117AD3A">
        <w:rPr>
          <w:rFonts w:cs="Calibri" w:cstheme="minorAscii"/>
        </w:rPr>
        <w:t xml:space="preserve"> of support, </w:t>
      </w:r>
      <w:r w:rsidRPr="4117AD3A" w:rsidR="4117AD3A">
        <w:rPr>
          <w:rFonts w:cs="Calibri" w:cstheme="minorAscii"/>
          <w:i w:val="1"/>
          <w:iCs w:val="1"/>
        </w:rPr>
        <w:t>“</w:t>
      </w:r>
      <w:r w:rsidRPr="4117AD3A" w:rsidR="4117AD3A">
        <w:rPr>
          <w:rFonts w:cs="Calibri" w:cstheme="minorAscii"/>
        </w:rPr>
        <w:t>bringing people into the political process makes them stakeholders in the community, which results in less recidivism and more public safety.” Research also demonstrates the relationship between re</w:t>
      </w:r>
      <w:r w:rsidRPr="4117AD3A" w:rsidR="4117AD3A">
        <w:rPr>
          <w:rFonts w:cs="Calibri" w:cstheme="minorAscii"/>
        </w:rPr>
        <w:t>-</w:t>
      </w:r>
      <w:r w:rsidRPr="4117AD3A" w:rsidR="4117AD3A">
        <w:rPr>
          <w:rFonts w:cs="Calibri" w:cstheme="minorAscii"/>
        </w:rPr>
        <w:t xml:space="preserve">enfranchisement and reducing recidivism: </w:t>
      </w:r>
      <w:r w:rsidR="4117AD3A">
        <w:rPr/>
        <w:t>one study found “consistent differences between voters and non-voters in rates of subsequent arrests, incarceration, and self-reported criminal behavior.” A Florida government analysis further found that the recidivism rate of those whose voting rights were restored was roughly one-third that of those who remained unable to vote.</w:t>
      </w:r>
    </w:p>
    <w:p w:rsidR="00EF7F1D" w:rsidP="00F73BC1" w:rsidRDefault="00EF7F1D" w14:paraId="78849EC6" w14:textId="77777777">
      <w:pPr>
        <w:pStyle w:val="xmsonormal"/>
      </w:pPr>
      <w:r>
        <w:t> </w:t>
      </w:r>
    </w:p>
    <w:p w:rsidR="00886F73" w:rsidP="00F73BC1" w:rsidRDefault="00892DAC" w14:paraId="32210BB3" w14:textId="18CF6C07">
      <w:pPr>
        <w:spacing w:after="0" w:line="240" w:lineRule="auto"/>
        <w:rPr>
          <w:rFonts w:cstheme="minorHAnsi"/>
        </w:rPr>
      </w:pPr>
      <w:r w:rsidRPr="00E72160">
        <w:rPr>
          <w:rFonts w:cstheme="minorHAnsi"/>
        </w:rPr>
        <w:t xml:space="preserve">Just as we reject symbols of the Confederacy, we must reject the laws of Jim Crow. We urge you to act decisively this session to pass Senate Bill 1931/Assembly Bill 4987. Democracy and justice cannot wait. </w:t>
      </w:r>
    </w:p>
    <w:p w:rsidRPr="00E72160" w:rsidR="00F73BC1" w:rsidP="00F73BC1" w:rsidRDefault="00F73BC1" w14:paraId="6870004A" w14:textId="77777777">
      <w:pPr>
        <w:spacing w:after="0" w:line="240" w:lineRule="auto"/>
        <w:rPr>
          <w:rFonts w:cstheme="minorHAnsi"/>
        </w:rPr>
      </w:pPr>
    </w:p>
    <w:p w:rsidR="00892DAC" w:rsidP="00F73BC1" w:rsidRDefault="00892DAC" w14:paraId="7A739534" w14:textId="2BC7F61E">
      <w:pPr>
        <w:spacing w:after="0" w:line="240" w:lineRule="auto"/>
        <w:rPr>
          <w:rFonts w:cstheme="minorHAnsi"/>
        </w:rPr>
      </w:pPr>
      <w:r w:rsidRPr="00E72160">
        <w:rPr>
          <w:rFonts w:cstheme="minorHAnsi"/>
        </w:rPr>
        <w:t>Sincerely,</w:t>
      </w:r>
    </w:p>
    <w:p w:rsidR="00F73BC1" w:rsidP="00F73BC1" w:rsidRDefault="00F73BC1" w14:paraId="3139B192" w14:textId="77777777">
      <w:pPr>
        <w:spacing w:after="0" w:line="240" w:lineRule="auto"/>
        <w:rPr>
          <w:rFonts w:cstheme="minorHAnsi"/>
        </w:rPr>
      </w:pPr>
    </w:p>
    <w:p w:rsidR="00935B2C" w:rsidP="00F73BC1" w:rsidRDefault="00935B2C" w14:paraId="3474D9D9" w14:textId="350FE7AF">
      <w:pPr>
        <w:spacing w:after="0" w:line="240" w:lineRule="auto"/>
      </w:pPr>
      <w:r>
        <w:t xml:space="preserve">National Action Network </w:t>
      </w:r>
    </w:p>
    <w:p w:rsidR="00935B2C" w:rsidP="00F73BC1" w:rsidRDefault="00935B2C" w14:paraId="3E37EF21" w14:textId="02DD9491">
      <w:pPr>
        <w:spacing w:after="0" w:line="240" w:lineRule="auto"/>
      </w:pPr>
      <w:r>
        <w:t>Parole Preparation Project</w:t>
      </w:r>
    </w:p>
    <w:p w:rsidR="00935B2C" w:rsidP="00F73BC1" w:rsidRDefault="00935B2C" w14:paraId="2417BA8D" w14:textId="2C6A6F7B">
      <w:pPr>
        <w:spacing w:after="0" w:line="240" w:lineRule="auto"/>
      </w:pPr>
      <w:r>
        <w:t xml:space="preserve">The Brennan Center for Justice </w:t>
      </w:r>
    </w:p>
    <w:p w:rsidR="00935B2C" w:rsidP="00F73BC1" w:rsidRDefault="00935B2C" w14:paraId="0593A9A6" w14:textId="61F2B5A1">
      <w:pPr>
        <w:spacing w:after="0" w:line="240" w:lineRule="auto"/>
      </w:pPr>
      <w:proofErr w:type="spellStart"/>
      <w:r>
        <w:t>D</w:t>
      </w:r>
      <w:r w:rsidR="00821C08">
        <w:rPr>
          <w:rFonts w:cstheme="minorHAnsi"/>
        </w:rPr>
        <w:t>ē</w:t>
      </w:r>
      <w:r>
        <w:t>mos</w:t>
      </w:r>
      <w:proofErr w:type="spellEnd"/>
    </w:p>
    <w:p w:rsidR="00935B2C" w:rsidP="00F73BC1" w:rsidRDefault="00935B2C" w14:paraId="53DDDE04" w14:textId="3541C6BC">
      <w:pPr>
        <w:spacing w:after="0" w:line="240" w:lineRule="auto"/>
      </w:pPr>
      <w:r>
        <w:t xml:space="preserve">New York Civil Liberties Union </w:t>
      </w:r>
    </w:p>
    <w:p w:rsidR="00115BEB" w:rsidP="00F73BC1" w:rsidRDefault="00115BEB" w14:paraId="269EF7B2" w14:textId="77777777">
      <w:pPr>
        <w:spacing w:after="0" w:line="240" w:lineRule="auto"/>
      </w:pPr>
      <w:r>
        <w:t xml:space="preserve">Let NY Vote </w:t>
      </w:r>
    </w:p>
    <w:p w:rsidR="00115BEB" w:rsidP="00F73BC1" w:rsidRDefault="00115BEB" w14:paraId="726BF47B" w14:textId="77777777">
      <w:pPr>
        <w:spacing w:after="0" w:line="240" w:lineRule="auto"/>
      </w:pPr>
      <w:r>
        <w:t xml:space="preserve">American Probation and Parole Association </w:t>
      </w:r>
    </w:p>
    <w:p w:rsidR="00935B2C" w:rsidP="00F73BC1" w:rsidRDefault="00935B2C" w14:paraId="7F30FC55" w14:textId="77777777">
      <w:pPr>
        <w:spacing w:after="0" w:line="240" w:lineRule="auto"/>
      </w:pPr>
      <w:r>
        <w:t xml:space="preserve">VOCAL-NY </w:t>
      </w:r>
    </w:p>
    <w:p w:rsidR="00935B2C" w:rsidP="00F73BC1" w:rsidRDefault="00935B2C" w14:paraId="398FFC9B" w14:textId="507DFE22">
      <w:pPr>
        <w:spacing w:after="0" w:line="240" w:lineRule="auto"/>
      </w:pPr>
      <w:r>
        <w:t xml:space="preserve">NAN Second Chance Committee </w:t>
      </w:r>
    </w:p>
    <w:p w:rsidR="00935B2C" w:rsidP="00F73BC1" w:rsidRDefault="00935B2C" w14:paraId="5E043044" w14:textId="5DBE3D42">
      <w:pPr>
        <w:spacing w:after="0" w:line="240" w:lineRule="auto"/>
      </w:pPr>
      <w:r>
        <w:t xml:space="preserve">College and Community Fellowship </w:t>
      </w:r>
    </w:p>
    <w:p w:rsidR="00935B2C" w:rsidP="00F73BC1" w:rsidRDefault="00935B2C" w14:paraId="19B575A4" w14:textId="660B6D41">
      <w:pPr>
        <w:spacing w:after="0" w:line="240" w:lineRule="auto"/>
      </w:pPr>
      <w:r>
        <w:t xml:space="preserve">NAMI Huntington </w:t>
      </w:r>
    </w:p>
    <w:p w:rsidR="00935B2C" w:rsidP="00F73BC1" w:rsidRDefault="00935B2C" w14:paraId="73C0DE73" w14:textId="5F6B4F3F">
      <w:pPr>
        <w:spacing w:after="0" w:line="240" w:lineRule="auto"/>
      </w:pPr>
      <w:r>
        <w:t xml:space="preserve">Brooklyn Defender Services  </w:t>
      </w:r>
    </w:p>
    <w:p w:rsidR="00935B2C" w:rsidP="00F73BC1" w:rsidRDefault="00935B2C" w14:paraId="5AF943DB" w14:textId="595B3D03">
      <w:pPr>
        <w:spacing w:after="0" w:line="240" w:lineRule="auto"/>
      </w:pPr>
      <w:r>
        <w:t xml:space="preserve">Public Citizen </w:t>
      </w:r>
    </w:p>
    <w:p w:rsidR="00935B2C" w:rsidP="00F73BC1" w:rsidRDefault="00935B2C" w14:paraId="369D4E0F" w14:textId="740F4E0E">
      <w:pPr>
        <w:spacing w:after="0" w:line="240" w:lineRule="auto"/>
      </w:pPr>
      <w:r>
        <w:t xml:space="preserve">Democracy Initiative </w:t>
      </w:r>
    </w:p>
    <w:p w:rsidR="00935B2C" w:rsidP="00F73BC1" w:rsidRDefault="00935B2C" w14:paraId="62A1A438" w14:textId="4B3D8321">
      <w:pPr>
        <w:spacing w:after="0" w:line="240" w:lineRule="auto"/>
      </w:pPr>
      <w:r>
        <w:t xml:space="preserve">The Legal Aid Society </w:t>
      </w:r>
    </w:p>
    <w:p w:rsidR="00935B2C" w:rsidP="00F73BC1" w:rsidRDefault="00935B2C" w14:paraId="3D0E3A76" w14:textId="5115762D">
      <w:pPr>
        <w:spacing w:after="0" w:line="240" w:lineRule="auto"/>
      </w:pPr>
      <w:r>
        <w:t xml:space="preserve">Center for Popular Democracy </w:t>
      </w:r>
    </w:p>
    <w:p w:rsidR="00935B2C" w:rsidP="00F73BC1" w:rsidRDefault="00935B2C" w14:paraId="3330B1A7" w14:textId="3F6374EA">
      <w:pPr>
        <w:spacing w:after="0" w:line="240" w:lineRule="auto"/>
      </w:pPr>
      <w:r>
        <w:t xml:space="preserve">Community Service Society  </w:t>
      </w:r>
    </w:p>
    <w:p w:rsidR="00935B2C" w:rsidP="00F73BC1" w:rsidRDefault="00935B2C" w14:paraId="48EB32D5" w14:textId="5450C06B">
      <w:pPr>
        <w:spacing w:after="0" w:line="240" w:lineRule="auto"/>
      </w:pPr>
      <w:r>
        <w:t xml:space="preserve">Fair Elections Center </w:t>
      </w:r>
    </w:p>
    <w:p w:rsidR="00935B2C" w:rsidP="00F73BC1" w:rsidRDefault="00935B2C" w14:paraId="50A41A9A" w14:textId="0A8733A7">
      <w:pPr>
        <w:spacing w:after="0" w:line="240" w:lineRule="auto"/>
      </w:pPr>
      <w:r>
        <w:t xml:space="preserve">Brooklyn Voters Alliance  </w:t>
      </w:r>
    </w:p>
    <w:p w:rsidR="00935B2C" w:rsidP="00F73BC1" w:rsidRDefault="00935B2C" w14:paraId="2DE0231F" w14:textId="3652F608">
      <w:pPr>
        <w:spacing w:after="0" w:line="240" w:lineRule="auto"/>
      </w:pPr>
      <w:r>
        <w:t xml:space="preserve">National LGBTQ Task Force </w:t>
      </w:r>
    </w:p>
    <w:p w:rsidR="00935B2C" w:rsidP="00F73BC1" w:rsidRDefault="00935B2C" w14:paraId="2468FD02" w14:textId="6CC0F39C">
      <w:pPr>
        <w:spacing w:after="0" w:line="240" w:lineRule="auto"/>
      </w:pPr>
      <w:r>
        <w:t xml:space="preserve">Make the Road NY </w:t>
      </w:r>
    </w:p>
    <w:p w:rsidR="00935B2C" w:rsidP="00F73BC1" w:rsidRDefault="00935B2C" w14:paraId="3C217DBD" w14:textId="05419DAE">
      <w:pPr>
        <w:spacing w:after="0" w:line="240" w:lineRule="auto"/>
      </w:pPr>
      <w:r>
        <w:lastRenderedPageBreak/>
        <w:t xml:space="preserve">Lawyers’ Committee for Civil Rights Under Law </w:t>
      </w:r>
    </w:p>
    <w:p w:rsidR="00935B2C" w:rsidP="00F73BC1" w:rsidRDefault="00935B2C" w14:paraId="498731C8" w14:textId="0C3F5EFC">
      <w:pPr>
        <w:spacing w:after="0" w:line="240" w:lineRule="auto"/>
      </w:pPr>
      <w:r>
        <w:t xml:space="preserve">Chinese-American Planning Council </w:t>
      </w:r>
    </w:p>
    <w:p w:rsidR="00935B2C" w:rsidP="00F73BC1" w:rsidRDefault="00935B2C" w14:paraId="69B062FF" w14:textId="7859131E">
      <w:pPr>
        <w:spacing w:after="0" w:line="240" w:lineRule="auto"/>
      </w:pPr>
      <w:r>
        <w:t xml:space="preserve">Indivisible Brooklyn </w:t>
      </w:r>
    </w:p>
    <w:p w:rsidR="00935B2C" w:rsidP="00F73BC1" w:rsidRDefault="00935B2C" w14:paraId="671BAB5D" w14:textId="4F20AF7D">
      <w:pPr>
        <w:spacing w:after="0" w:line="240" w:lineRule="auto"/>
      </w:pPr>
      <w:r>
        <w:t xml:space="preserve">Lift Every Vote </w:t>
      </w:r>
    </w:p>
    <w:p w:rsidR="00935B2C" w:rsidP="00F73BC1" w:rsidRDefault="00935B2C" w14:paraId="5564E50A" w14:textId="32645BC0">
      <w:pPr>
        <w:spacing w:after="0" w:line="240" w:lineRule="auto"/>
      </w:pPr>
      <w:r>
        <w:t xml:space="preserve">NAACP Legal Defense &amp; Educational Fund, Inc. </w:t>
      </w:r>
    </w:p>
    <w:p w:rsidR="00935B2C" w:rsidP="00F73BC1" w:rsidRDefault="00935B2C" w14:paraId="78C5083B" w14:textId="2D997515">
      <w:pPr>
        <w:spacing w:after="0" w:line="240" w:lineRule="auto"/>
      </w:pPr>
      <w:r>
        <w:t xml:space="preserve">Medgar Evers College Center for Law &amp; Social Justice </w:t>
      </w:r>
    </w:p>
    <w:p w:rsidR="00935B2C" w:rsidP="00F73BC1" w:rsidRDefault="00935B2C" w14:paraId="733A6F22" w14:textId="633D5FE8">
      <w:pPr>
        <w:spacing w:after="0" w:line="240" w:lineRule="auto"/>
      </w:pPr>
      <w:r>
        <w:t xml:space="preserve">New York State Prisoner Justice Network </w:t>
      </w:r>
    </w:p>
    <w:p w:rsidR="00935B2C" w:rsidP="00F73BC1" w:rsidRDefault="00935B2C" w14:paraId="2E274F09" w14:textId="312C53D6">
      <w:pPr>
        <w:spacing w:after="0" w:line="240" w:lineRule="auto"/>
      </w:pPr>
      <w:r>
        <w:t xml:space="preserve">New York Campaign for Alternatives to Isolated Confinement  </w:t>
      </w:r>
    </w:p>
    <w:p w:rsidR="00935B2C" w:rsidP="00F73BC1" w:rsidRDefault="00935B2C" w14:paraId="4892D35D" w14:textId="1E795E88">
      <w:pPr>
        <w:spacing w:after="0" w:line="240" w:lineRule="auto"/>
      </w:pPr>
      <w:r>
        <w:t xml:space="preserve">Challenging Incarceration Coalition </w:t>
      </w:r>
    </w:p>
    <w:p w:rsidR="00935B2C" w:rsidP="00F73BC1" w:rsidRDefault="00935B2C" w14:paraId="3E25E061" w14:textId="60E8B552">
      <w:pPr>
        <w:spacing w:after="0" w:line="240" w:lineRule="auto"/>
      </w:pPr>
      <w:r>
        <w:t xml:space="preserve">New York Democratic Lawyers Council </w:t>
      </w:r>
    </w:p>
    <w:p w:rsidR="00935B2C" w:rsidP="00F73BC1" w:rsidRDefault="00935B2C" w14:paraId="7665FB8C" w14:textId="0383588C">
      <w:pPr>
        <w:spacing w:after="0" w:line="240" w:lineRule="auto"/>
      </w:pPr>
      <w:r>
        <w:t xml:space="preserve">Releasing Aging People in Prison </w:t>
      </w:r>
    </w:p>
    <w:p w:rsidR="00935B2C" w:rsidP="00F73BC1" w:rsidRDefault="00935B2C" w14:paraId="05BA28C5" w14:textId="29CB12C9">
      <w:pPr>
        <w:spacing w:after="0" w:line="240" w:lineRule="auto"/>
      </w:pPr>
      <w:r>
        <w:t xml:space="preserve">Citizen Action NY  </w:t>
      </w:r>
    </w:p>
    <w:p w:rsidR="00935B2C" w:rsidP="00F73BC1" w:rsidRDefault="00935B2C" w14:paraId="0416B9F9" w14:textId="6B0E9731">
      <w:pPr>
        <w:spacing w:after="0" w:line="240" w:lineRule="auto"/>
      </w:pPr>
      <w:r>
        <w:t xml:space="preserve">Bronx Defenders  </w:t>
      </w:r>
    </w:p>
    <w:p w:rsidR="00935B2C" w:rsidP="00F73BC1" w:rsidRDefault="00935B2C" w14:paraId="6E7BC080" w14:textId="6885AB6E">
      <w:pPr>
        <w:spacing w:after="0" w:line="240" w:lineRule="auto"/>
      </w:pPr>
      <w:r>
        <w:t xml:space="preserve">Lesbian, Gay, Bisexual &amp; Transgender Community Center  </w:t>
      </w:r>
    </w:p>
    <w:p w:rsidR="00935B2C" w:rsidP="00F73BC1" w:rsidRDefault="00935B2C" w14:paraId="1520E8F9" w14:textId="215582BF">
      <w:pPr>
        <w:spacing w:after="0" w:line="240" w:lineRule="auto"/>
      </w:pPr>
      <w:r>
        <w:t xml:space="preserve">Common Cause/NY </w:t>
      </w:r>
    </w:p>
    <w:p w:rsidR="00935B2C" w:rsidP="00F73BC1" w:rsidRDefault="00935B2C" w14:paraId="6464708D" w14:textId="27B56B7F">
      <w:pPr>
        <w:spacing w:after="0" w:line="240" w:lineRule="auto"/>
      </w:pPr>
      <w:r>
        <w:t xml:space="preserve">Stand Up America  </w:t>
      </w:r>
    </w:p>
    <w:p w:rsidR="00935B2C" w:rsidP="00F73BC1" w:rsidRDefault="00935B2C" w14:paraId="107979D5" w14:textId="1A5B534A">
      <w:pPr>
        <w:spacing w:after="0" w:line="240" w:lineRule="auto"/>
      </w:pPr>
      <w:r>
        <w:t xml:space="preserve">African American Ministers in Action </w:t>
      </w:r>
    </w:p>
    <w:p w:rsidR="00935B2C" w:rsidP="00F73BC1" w:rsidRDefault="00935B2C" w14:paraId="6484F624" w14:textId="6F7F0B36">
      <w:pPr>
        <w:spacing w:after="0" w:line="240" w:lineRule="auto"/>
      </w:pPr>
      <w:r>
        <w:t xml:space="preserve">Citizens Union </w:t>
      </w:r>
    </w:p>
    <w:p w:rsidR="00935B2C" w:rsidP="00F73BC1" w:rsidRDefault="00935B2C" w14:paraId="496EADDB" w14:textId="0C32BA00">
      <w:pPr>
        <w:spacing w:after="0" w:line="240" w:lineRule="auto"/>
      </w:pPr>
      <w:r>
        <w:t xml:space="preserve">Rockaway Youth Task Force </w:t>
      </w:r>
    </w:p>
    <w:p w:rsidRPr="00E72160" w:rsidR="00892DAC" w:rsidP="00F73BC1" w:rsidRDefault="00935B2C" w14:paraId="47B0BB65" w14:textId="2C88E05C">
      <w:pPr>
        <w:spacing w:after="0" w:line="240" w:lineRule="auto"/>
        <w:rPr>
          <w:rFonts w:cstheme="minorHAnsi"/>
        </w:rPr>
      </w:pPr>
      <w:r>
        <w:t xml:space="preserve">Friends of the Earth </w:t>
      </w:r>
    </w:p>
    <w:p w:rsidR="0010271F" w:rsidP="00F73BC1" w:rsidRDefault="0010271F" w14:paraId="5518F674" w14:textId="77777777">
      <w:pPr>
        <w:spacing w:after="0" w:line="240" w:lineRule="auto"/>
        <w:rPr>
          <w:rFonts w:cstheme="minorHAnsi"/>
        </w:rPr>
      </w:pPr>
    </w:p>
    <w:p w:rsidR="00115BEB" w:rsidP="00F73BC1" w:rsidRDefault="00115BEB" w14:paraId="4A99D0EE" w14:textId="77777777">
      <w:pPr>
        <w:spacing w:after="0" w:line="240" w:lineRule="auto"/>
        <w:rPr>
          <w:rFonts w:cstheme="minorHAnsi"/>
          <w:b/>
        </w:rPr>
      </w:pPr>
    </w:p>
    <w:p w:rsidRPr="0010271F" w:rsidR="00935B2C" w:rsidP="00F73BC1" w:rsidRDefault="00935B2C" w14:paraId="56E6984B" w14:textId="089592AB">
      <w:pPr>
        <w:spacing w:after="0" w:line="240" w:lineRule="auto"/>
        <w:rPr>
          <w:rFonts w:cstheme="minorHAnsi"/>
          <w:b/>
        </w:rPr>
      </w:pPr>
      <w:r w:rsidRPr="0010271F">
        <w:rPr>
          <w:rFonts w:cstheme="minorHAnsi"/>
          <w:b/>
        </w:rPr>
        <w:t xml:space="preserve">CC: Senator Leroy Comrie, Senator </w:t>
      </w:r>
      <w:proofErr w:type="spellStart"/>
      <w:r w:rsidRPr="0010271F">
        <w:rPr>
          <w:rFonts w:cstheme="minorHAnsi"/>
          <w:b/>
        </w:rPr>
        <w:t>Zellnor</w:t>
      </w:r>
      <w:proofErr w:type="spellEnd"/>
      <w:r w:rsidRPr="0010271F">
        <w:rPr>
          <w:rFonts w:cstheme="minorHAnsi"/>
          <w:b/>
        </w:rPr>
        <w:t xml:space="preserve"> </w:t>
      </w:r>
      <w:proofErr w:type="spellStart"/>
      <w:r w:rsidRPr="0010271F">
        <w:rPr>
          <w:rFonts w:cstheme="minorHAnsi"/>
          <w:b/>
        </w:rPr>
        <w:t>Myrie</w:t>
      </w:r>
      <w:proofErr w:type="spellEnd"/>
      <w:r w:rsidRPr="0010271F">
        <w:rPr>
          <w:rFonts w:cstheme="minorHAnsi"/>
          <w:b/>
        </w:rPr>
        <w:t>, Assembly Member Daniel O’Donnell</w:t>
      </w:r>
    </w:p>
    <w:sectPr w:rsidRPr="0010271F" w:rsidR="00935B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3EB9"/>
    <w:multiLevelType w:val="hybridMultilevel"/>
    <w:tmpl w:val="EE04CA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238305D"/>
    <w:multiLevelType w:val="hybridMultilevel"/>
    <w:tmpl w:val="55143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8"/>
    <w:rsid w:val="000D043B"/>
    <w:rsid w:val="000E2AAA"/>
    <w:rsid w:val="0010271F"/>
    <w:rsid w:val="00115BEB"/>
    <w:rsid w:val="001D5B06"/>
    <w:rsid w:val="00241523"/>
    <w:rsid w:val="00365FA8"/>
    <w:rsid w:val="00396661"/>
    <w:rsid w:val="003E6700"/>
    <w:rsid w:val="004C05DB"/>
    <w:rsid w:val="005144D2"/>
    <w:rsid w:val="005B37C5"/>
    <w:rsid w:val="005C5611"/>
    <w:rsid w:val="005E046A"/>
    <w:rsid w:val="006010BE"/>
    <w:rsid w:val="00624008"/>
    <w:rsid w:val="00667DEF"/>
    <w:rsid w:val="00694397"/>
    <w:rsid w:val="0070476D"/>
    <w:rsid w:val="007213C2"/>
    <w:rsid w:val="00767A14"/>
    <w:rsid w:val="007B3CA2"/>
    <w:rsid w:val="007C0B7E"/>
    <w:rsid w:val="007E373C"/>
    <w:rsid w:val="00821C08"/>
    <w:rsid w:val="00877449"/>
    <w:rsid w:val="00886F73"/>
    <w:rsid w:val="00892DAC"/>
    <w:rsid w:val="008A66F1"/>
    <w:rsid w:val="008E4845"/>
    <w:rsid w:val="008E4D2C"/>
    <w:rsid w:val="008E6EA0"/>
    <w:rsid w:val="00901CE9"/>
    <w:rsid w:val="00935B2C"/>
    <w:rsid w:val="009624EE"/>
    <w:rsid w:val="009631B8"/>
    <w:rsid w:val="009B61BC"/>
    <w:rsid w:val="009C469B"/>
    <w:rsid w:val="00AB1B42"/>
    <w:rsid w:val="00AC51C6"/>
    <w:rsid w:val="00B66876"/>
    <w:rsid w:val="00B73B7D"/>
    <w:rsid w:val="00C3013D"/>
    <w:rsid w:val="00C404CF"/>
    <w:rsid w:val="00CB3218"/>
    <w:rsid w:val="00CD64A4"/>
    <w:rsid w:val="00CE50BA"/>
    <w:rsid w:val="00CF01F0"/>
    <w:rsid w:val="00D0278B"/>
    <w:rsid w:val="00D5264B"/>
    <w:rsid w:val="00D73678"/>
    <w:rsid w:val="00E72160"/>
    <w:rsid w:val="00EA4963"/>
    <w:rsid w:val="00EF4628"/>
    <w:rsid w:val="00EF7F1D"/>
    <w:rsid w:val="00F25F78"/>
    <w:rsid w:val="00F35ACB"/>
    <w:rsid w:val="00F73BC1"/>
    <w:rsid w:val="00FF11B0"/>
    <w:rsid w:val="4117A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5038"/>
  <w15:chartTrackingRefBased/>
  <w15:docId w15:val="{85471B2E-8142-444D-9AC6-049F8396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96661"/>
    <w:pPr>
      <w:ind w:left="720"/>
      <w:contextualSpacing/>
    </w:pPr>
  </w:style>
  <w:style w:type="paragraph" w:styleId="xmsonormal" w:customStyle="1">
    <w:name w:val="x_msonormal"/>
    <w:basedOn w:val="Normal"/>
    <w:rsid w:val="00EF7F1D"/>
    <w:pPr>
      <w:spacing w:after="0" w:line="240" w:lineRule="auto"/>
    </w:pPr>
    <w:rPr>
      <w:rFonts w:ascii="Calibri" w:hAnsi="Calibri" w:cs="Calibri"/>
    </w:rPr>
  </w:style>
  <w:style w:type="paragraph" w:styleId="NoSpacing">
    <w:name w:val="No Spacing"/>
    <w:uiPriority w:val="1"/>
    <w:qFormat/>
    <w:rsid w:val="00935B2C"/>
    <w:pPr>
      <w:spacing w:after="0" w:line="240" w:lineRule="auto"/>
    </w:pPr>
  </w:style>
  <w:style w:type="character" w:styleId="Hyperlink">
    <w:name w:val="Hyperlink"/>
    <w:basedOn w:val="DefaultParagraphFont"/>
    <w:uiPriority w:val="99"/>
    <w:unhideWhenUsed/>
    <w:rsid w:val="00AB1B42"/>
    <w:rPr>
      <w:color w:val="0563C1" w:themeColor="hyperlink"/>
      <w:u w:val="single"/>
    </w:rPr>
  </w:style>
  <w:style w:type="character" w:styleId="UnresolvedMention">
    <w:name w:val="Unresolved Mention"/>
    <w:basedOn w:val="DefaultParagraphFont"/>
    <w:uiPriority w:val="99"/>
    <w:semiHidden/>
    <w:unhideWhenUsed/>
    <w:rsid w:val="00AB1B42"/>
    <w:rPr>
      <w:color w:val="605E5C"/>
      <w:shd w:val="clear" w:color="auto" w:fill="E1DFDD"/>
    </w:rPr>
  </w:style>
  <w:style w:type="character" w:styleId="FollowedHyperlink">
    <w:name w:val="FollowedHyperlink"/>
    <w:basedOn w:val="DefaultParagraphFont"/>
    <w:uiPriority w:val="99"/>
    <w:semiHidden/>
    <w:unhideWhenUsed/>
    <w:rsid w:val="00241523"/>
    <w:rPr>
      <w:color w:val="954F72" w:themeColor="followedHyperlink"/>
      <w:u w:val="single"/>
    </w:rPr>
  </w:style>
  <w:style w:type="paragraph" w:styleId="NormalWeb">
    <w:name w:val="Normal (Web)"/>
    <w:basedOn w:val="Normal"/>
    <w:uiPriority w:val="99"/>
    <w:semiHidden/>
    <w:unhideWhenUsed/>
    <w:rsid w:val="006010B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A496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4963"/>
    <w:rPr>
      <w:rFonts w:ascii="Segoe UI" w:hAnsi="Segoe UI" w:cs="Segoe UI"/>
      <w:sz w:val="18"/>
      <w:szCs w:val="18"/>
    </w:rPr>
  </w:style>
  <w:style w:type="character" w:styleId="CommentReference">
    <w:name w:val="annotation reference"/>
    <w:basedOn w:val="DefaultParagraphFont"/>
    <w:uiPriority w:val="99"/>
    <w:semiHidden/>
    <w:unhideWhenUsed/>
    <w:rsid w:val="009624EE"/>
    <w:rPr>
      <w:sz w:val="16"/>
      <w:szCs w:val="16"/>
    </w:rPr>
  </w:style>
  <w:style w:type="paragraph" w:styleId="CommentText">
    <w:name w:val="annotation text"/>
    <w:basedOn w:val="Normal"/>
    <w:link w:val="CommentTextChar"/>
    <w:uiPriority w:val="99"/>
    <w:semiHidden/>
    <w:unhideWhenUsed/>
    <w:rsid w:val="009624EE"/>
    <w:pPr>
      <w:spacing w:line="240" w:lineRule="auto"/>
    </w:pPr>
    <w:rPr>
      <w:sz w:val="20"/>
      <w:szCs w:val="20"/>
    </w:rPr>
  </w:style>
  <w:style w:type="character" w:styleId="CommentTextChar" w:customStyle="1">
    <w:name w:val="Comment Text Char"/>
    <w:basedOn w:val="DefaultParagraphFont"/>
    <w:link w:val="CommentText"/>
    <w:uiPriority w:val="99"/>
    <w:semiHidden/>
    <w:rsid w:val="009624EE"/>
    <w:rPr>
      <w:sz w:val="20"/>
      <w:szCs w:val="20"/>
    </w:rPr>
  </w:style>
  <w:style w:type="paragraph" w:styleId="CommentSubject">
    <w:name w:val="annotation subject"/>
    <w:basedOn w:val="CommentText"/>
    <w:next w:val="CommentText"/>
    <w:link w:val="CommentSubjectChar"/>
    <w:uiPriority w:val="99"/>
    <w:semiHidden/>
    <w:unhideWhenUsed/>
    <w:rsid w:val="009624EE"/>
    <w:rPr>
      <w:b/>
      <w:bCs/>
    </w:rPr>
  </w:style>
  <w:style w:type="character" w:styleId="CommentSubjectChar" w:customStyle="1">
    <w:name w:val="Comment Subject Char"/>
    <w:basedOn w:val="CommentTextChar"/>
    <w:link w:val="CommentSubject"/>
    <w:uiPriority w:val="99"/>
    <w:semiHidden/>
    <w:rsid w:val="009624EE"/>
    <w:rPr>
      <w:b/>
      <w:bCs/>
      <w:sz w:val="20"/>
      <w:szCs w:val="20"/>
    </w:rPr>
  </w:style>
  <w:style w:type="paragraph" w:styleId="Revision">
    <w:name w:val="Revision"/>
    <w:hidden/>
    <w:uiPriority w:val="99"/>
    <w:semiHidden/>
    <w:rsid w:val="008E4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5950">
      <w:bodyDiv w:val="1"/>
      <w:marLeft w:val="0"/>
      <w:marRight w:val="0"/>
      <w:marTop w:val="0"/>
      <w:marBottom w:val="0"/>
      <w:divBdr>
        <w:top w:val="none" w:sz="0" w:space="0" w:color="auto"/>
        <w:left w:val="none" w:sz="0" w:space="0" w:color="auto"/>
        <w:bottom w:val="none" w:sz="0" w:space="0" w:color="auto"/>
        <w:right w:val="none" w:sz="0" w:space="0" w:color="auto"/>
      </w:divBdr>
    </w:div>
    <w:div w:id="1214973307">
      <w:bodyDiv w:val="1"/>
      <w:marLeft w:val="0"/>
      <w:marRight w:val="0"/>
      <w:marTop w:val="0"/>
      <w:marBottom w:val="0"/>
      <w:divBdr>
        <w:top w:val="none" w:sz="0" w:space="0" w:color="auto"/>
        <w:left w:val="none" w:sz="0" w:space="0" w:color="auto"/>
        <w:bottom w:val="none" w:sz="0" w:space="0" w:color="auto"/>
        <w:right w:val="none" w:sz="0" w:space="0" w:color="auto"/>
      </w:divBdr>
    </w:div>
    <w:div w:id="1239367301">
      <w:bodyDiv w:val="1"/>
      <w:marLeft w:val="0"/>
      <w:marRight w:val="0"/>
      <w:marTop w:val="0"/>
      <w:marBottom w:val="0"/>
      <w:divBdr>
        <w:top w:val="none" w:sz="0" w:space="0" w:color="auto"/>
        <w:left w:val="none" w:sz="0" w:space="0" w:color="auto"/>
        <w:bottom w:val="none" w:sz="0" w:space="0" w:color="auto"/>
        <w:right w:val="none" w:sz="0" w:space="0" w:color="auto"/>
      </w:divBdr>
    </w:div>
    <w:div w:id="1551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nysenate.gov/legislation/bills/2019/a4987" TargetMode="External" Id="rId6" /><Relationship Type="http://schemas.openxmlformats.org/officeDocument/2006/relationships/hyperlink" Target="https://www.nysenate.gov/legislation/bills/2019/s1931" TargetMode="External" Id="rId5" /><Relationship Type="http://schemas.openxmlformats.org/officeDocument/2006/relationships/hyperlink" Target="http://www.brennancenter.org/sites/default/files/legislation/APPA%20letter%20Maryland%20SB%20340%20%282%29.pdf"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s://www.brennancenter.org/publication/jim-crow-new-york" TargetMode="External" Id="Re42c4496947b4bb2" /><Relationship Type="http://schemas.openxmlformats.org/officeDocument/2006/relationships/hyperlink" Target="https://www.coloradoindependent.com/2019/04/25/colorado-could-restore-voting-rights-to-9000-felons-this-year/" TargetMode="External" Id="R4574213751e14487" /><Relationship Type="http://schemas.openxmlformats.org/officeDocument/2006/relationships/hyperlink" Target="https://www.rgj.com/story/news/politics/2019/05/23/nevada-moves-restore-ex-felon-voting-rights/1207840001/" TargetMode="External" Id="Rfdb9c8aea9ae424c" /><Relationship Type="http://schemas.openxmlformats.org/officeDocument/2006/relationships/hyperlink" Target="https://www.governor.ny.gov/sites/governor.ny.gov/files/atoms/files/EO_181.pdf" TargetMode="External" Id="Ra231df487e794fcc" /><Relationship Type="http://schemas.openxmlformats.org/officeDocument/2006/relationships/hyperlink" Target="file:///C:\Users\ajayaram\Downloads\Singas%20Letter%20of%20Support%20S1931%20&amp;%20A4987.pdf" TargetMode="External" Id="R861f606911eb45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Amshula Jayaram</dc:creator>
  <keywords/>
  <dc:description/>
  <lastModifiedBy>Isabel Zeitz-Moskin</lastModifiedBy>
  <revision>3</revision>
  <lastPrinted>2019-05-20T14:53:00.0000000Z</lastPrinted>
  <dcterms:created xsi:type="dcterms:W3CDTF">2019-05-28T22:19:00.0000000Z</dcterms:created>
  <dcterms:modified xsi:type="dcterms:W3CDTF">2019-05-29T14:07:22.7413511Z</dcterms:modified>
</coreProperties>
</file>